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PPCB</w:t>
      </w:r>
      <w:r>
        <w:rPr>
          <w:rFonts w:ascii="Calibri" w:hAnsi="Calibri"/>
          <w:b/>
          <w:color w:val="1A2010"/>
          <w:sz w:val="40"/>
        </w:rPr>
        <w:t xml:space="preserve">  Propanc Biopharma, Inc.</w:t>
      </w:r>
    </w:p>
    <w:p>
      <w:pPr>
        <w:spacing w:after="120"/>
      </w:pPr>
      <w:r>
        <w:rPr>
          <w:rFonts w:ascii="Calibri" w:hAnsi="Calibri"/>
          <w:b/>
          <w:color w:val="6E8450"/>
          <w:sz w:val="18"/>
        </w:rPr>
        <w:t>GROWTH SLEEVE · 2026-04-21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Propanc Biopharma is a clinical-stage biopharmaceutical company developing novel cancer treatments targeting pancreatic, ovarian, and colorectal cancers. The company's lead candidate, PRP (proenzyme therapy), uses a combination of trypsinogen and chymotrypsinogen to exploit the biochemical vulnerabilities of cancer cells. Propanc is pre-revenue with a $2.7M market cap.</w:t>
      </w:r>
    </w:p>
    <w:p>
      <w:r>
        <w:rPr>
          <w:rFonts w:ascii="Calibri" w:hAnsi="Calibri"/>
          <w:b/>
          <w:color w:val="6E8450"/>
          <w:sz w:val="18"/>
        </w:rPr>
        <w:t>2 Employees · https://www.propanc.com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Propanc has been developing its proenzyme cancer therapy since its founding with no commercial products launched and no revenue generated in any period. The company has not executed any successful product launches, market pivots, or business model transformations [1]. AI Deployment (0/2): No AI deployment or strategy evident — Propanc is a 2-person clinical-stage company focused on basic drug development with no technology infrastructure [2]. Market Share (0/2): Propanc has no commercial products and therefore no market share. The company operates in the highly competitive oncology space against pharmaceutical giants with multi-billion-dollar R&amp;D budgets [1]. Pipeline (1/2): The lead candidate PRP is advancing toward a Phase 1b clinical study in 30-40 patients with advanced solid tumors at the Peter MacCallum Cancer Centre in Melbourne — a credible academic medical center partnership, though the timeline remains uncertain and the program is very early stage [1][2]. R&amp;D Intensity (0/1): With only 2 employees and $3.65M in quarterly operating expenses, R&amp;D spending is minimal in absolute terms; the company lacks the resources to maintain sustained research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Propanc's mission — developing new cancer treatments for patients suffering from pancreatic, ovarian, and colorectal cancers — connects to a genuinely meaningful purpose. Cancer patients desperately need new treatment options, and the proenzyme approach represents a novel mechanism. The mission is clear and purposeful, though the company's tiny scale limits its ability to actualize it [2]. Community Impact (0/2): No evidence of charitable programs, community investment, or foundation activities — a 2-person pre-revenue company with a $2.7M market cap has no resources for philanthropy. Employee Retention (0/2): With only 2 employees and no Glassdoor reviews available, there is no retention data to evaluate [2]. Insider Buying (0/2): No evidence of meaningful insider buying found. CEO James Nathanielsz has served since 2007, suggesting commitment, but no specific recent purchase data 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(4,016,019) × stock_price ($0.12) = $481,922, which is below the $1,000,000 minimum liquidity threshold. Infrastructure score is automatically set to 0 regardless of other metrics [3]. For reference, the underlying financials are extremely weak: zero revenue, negative ROE of -1,812%, D/E of 567% (far above the 300% floor), and a $2.7M market cap that makes the stock essentially untradeable for any institutional investor. Operating losses of $3.65M in Q1 FY2026 alone (vs. $0.21M prior year) indicate accelerating cash burn with no revenue offset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Propanc Biopharma is too small and early-stage to meaningfully evaluate through Sinek's infinite game framework. The company has a genuinely purposeful mission in cancer treatment, but with 2 employees, no revenue, and a $2.7M market cap, the organization lacks the scale, resources, and track record to demonstrate infinite-game characteristics. Survival itself is the primary challenge.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Propanc has a genuine, partially lived cause (2/3 points). Developing novel cancer treatments for pancreatic, ovarian, and colorectal cancers — some of the deadliest malignancies — represents a meaningful Just Cause. CEO Nathanielsz has persisted with this mission since 2007 despite minimal resources and no revenue, which suggests authentic commitment. However, the company has not yet proven the cause through successful execution or multi-decade consistency in delivering results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Cannot meaningfully evaluate (0/2 points). With only 2 employees, there is insufficient organizational complexity to assess trust, psychological safety, or team dynamics. The company lacks the scale for meaningful cultural assessment. Board changes (Dr. Kenyon's retirement, Dr. Brandt's appointment) show governance activity but do not indicate trust levels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mindset (0/1 points). Propanc operates in isolation from major oncology competitors — no management commentary references learning from rivals' strengths or using competitive dynamics for self-improvement. The company is simply too small to engage in the competitive discourse that reveals infinite vs. finite mindset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Rigid (0/2 points). Propanc has pursued the same proenzyme therapy approach since its founding without meaningful pivots, adjacent market entry, or business model evolution. While scientific persistence can be a virtue in drug development, the company has not demonstrated the strategic flexibility to adapt if PRP fails clinical trials — there is no platform, no backup pipeline, and no alternative revenue strategy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decisions (0/2 points). While persisting with a pre-revenue cancer research company for nearly two decades requires personal sacrifice from the CEO, this reflects stubbornness or hope rather than the strategic courage Sinek describes — making costly long-term bets from a position of strength. Propanc has no revenue base, no market position, and no strategic choices to sacrifice. The company's situation reflects survival mode, not courageous leadership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Propanc Biopharma is a speculative micro-cap biotech pursuing a novel proenzyme therapy (PRP) for advanced solid tumors including pancreatic, ovarian, and colorectal cancers [1]. The lead candidate is advancing toward a Phase 1b clinical study at the Peter MacCallum Cancer Centre in Melbourne, one of Australia's premier oncology research hospitals, which provides scientific credibility to an otherwise extremely early-stage program [1][2]. The proenzyme mechanism — using trypsinogen and chymotrypsinogen to target cancer cell vulnerabilities — represents a differentiated approach in the crowded oncology space. CEO Nathanielsz's 19-year tenure demonstrates personal commitment to the mission.</w:t>
      </w:r>
    </w:p>
    <w:p>
      <w:pPr>
        <w:spacing w:after="120"/>
      </w:pPr>
      <w:r>
        <w:rPr>
          <w:rFonts w:ascii="Calibri" w:hAnsi="Calibri"/>
          <w:b w:val="0"/>
          <w:color w:val="3A4A28"/>
          <w:sz w:val="20"/>
        </w:rPr>
        <w:t>The investment case is overwhelmingly negative. Propanc has a $2.7M market cap, 2 employees, zero revenue, and operating losses accelerating from $0.21M to $3.65M quarterly — the company faces existential going-concern risk [1][3]. D/E of 567% reflects a balance sheet dependent on dilutive financing that has destroyed shareholder value (the stock trades at $0.12). The liquidity floor is not met ($482K daily traded value), making the stock untradeable for any meaningful portfolio. PRP remains in early clinical development with years of expensive trials ahead and a high probability of failure — oncology drug development has historically had &lt;5% success rates from Phase 1 to approval. There is no analyst coverage, no institutional ownership, and no diversified pipeline to mitigate binary clinical trial risk. This stock is unsuitable for any investment framework requiring liquidity, financial stability, or near-term earnings visibility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1b clinical trial initiation at Peter MacCallum Cancer Centre with 30-40 advanced solid tumor patients — positive data could validate the proenzyme mechanism and attract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Potential licensing or partnership deal with a larger pharmaceutical company that could provide funding and clinical development expertise for PRP [2]</w:t>
      </w:r>
    </w:p>
    <w:p>
      <w:pPr>
        <w:spacing w:before="40" w:after="40"/>
        <w:ind w:left="283"/>
      </w:pPr>
      <w:r>
        <w:rPr>
          <w:rFonts w:ascii="Calibri" w:hAnsi="Calibri"/>
          <w:b/>
          <w:color w:val="4A6B25"/>
          <w:sz w:val="20"/>
        </w:rPr>
        <w:t xml:space="preserve">3. </w:t>
      </w:r>
      <w:r>
        <w:rPr>
          <w:rFonts w:ascii="Calibri" w:hAnsi="Calibri"/>
          <w:b w:val="0"/>
          <w:color w:val="3A4A28"/>
          <w:sz w:val="20"/>
        </w:rPr>
        <w:t>Novel mechanism of action in oncology (proenzyme therapy) could attract academic and investor interest if early clinical signals are positive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$2.7M market cap with accelerating cash burn ($3.65M quarterly operating loss) and zero revenue means the company may not survive without additional dilutive financing [1][3]</w:t>
      </w:r>
    </w:p>
    <w:p>
      <w:pPr>
        <w:spacing w:before="40" w:after="40"/>
        <w:ind w:left="283"/>
      </w:pPr>
      <w:r>
        <w:rPr>
          <w:rFonts w:ascii="Calibri" w:hAnsi="Calibri"/>
          <w:b/>
          <w:color w:val="4A6B25"/>
          <w:sz w:val="20"/>
        </w:rPr>
        <w:t xml:space="preserve">2. </w:t>
      </w:r>
      <w:r>
        <w:rPr>
          <w:rFonts w:ascii="Calibri" w:hAnsi="Calibri"/>
          <w:b w:val="0"/>
          <w:color w:val="3A4A28"/>
          <w:sz w:val="20"/>
        </w:rPr>
        <w:t>Binary clinical trial risk — PRP failure in Phase 1b would effectively destroy the company's sole asset, with no backup pipeline or alternative revenue strategy [1]</w:t>
      </w:r>
    </w:p>
    <w:p>
      <w:pPr>
        <w:spacing w:before="40" w:after="40"/>
        <w:ind w:left="283"/>
      </w:pPr>
      <w:r>
        <w:rPr>
          <w:rFonts w:ascii="Calibri" w:hAnsi="Calibri"/>
          <w:b/>
          <w:color w:val="4A6B25"/>
          <w:sz w:val="20"/>
        </w:rPr>
        <w:t xml:space="preserve">3. </w:t>
      </w:r>
      <w:r>
        <w:rPr>
          <w:rFonts w:ascii="Calibri" w:hAnsi="Calibri"/>
          <w:b w:val="0"/>
          <w:color w:val="3A4A28"/>
          <w:sz w:val="20"/>
        </w:rPr>
        <w:t>Severe illiquidity — $482K daily traded value fails the $1M liquidity floor, making position entry and exit nearly impossible without massive price impact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Cancer drug development is fundamentally protected from AI disruption — discovering and proving novel oncology therapeutics requires wet-lab chemistry, animal models, multi-year clinical trials with human patients, and FDA regulatory approval processes that AI cannot replace or circumvent [1]. Propanc's proenzyme mechanism of action is a biological therapy concept that must be validated through physical clinical studies. While AI is increasingly used in drug discovery to identify candidates faster, it enhances rather than threatens the biotech development process — having a promising candidate in clinical trials means AI makes the field more productive, not obsolete. AI Opportunity (0/1): Propanc has no AI-related revenue, products, or strategy. The company is too small (2 employees) to deploy AI in any meaningful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Propanc Biopharma Q1 FY2026 Corporate Update — $3.65M operating loss, Phase 1b advancement at Peter MacCallum Cancer Centre, February 2026</w:t>
      </w:r>
    </w:p>
    <w:p>
      <w:pPr>
        <w:spacing w:before="20" w:after="20"/>
        <w:ind w:left="170"/>
      </w:pPr>
      <w:r>
        <w:rPr>
          <w:rFonts w:ascii="Calibri" w:hAnsi="Calibri"/>
          <w:b/>
          <w:color w:val="4A6B25"/>
          <w:sz w:val="15"/>
        </w:rPr>
        <w:t xml:space="preserve">2. </w:t>
      </w:r>
      <w:r>
        <w:rPr>
          <w:rFonts w:ascii="Calibri" w:hAnsi="Calibri"/>
          <w:b w:val="0"/>
          <w:color w:val="3A4A28"/>
          <w:sz w:val="17"/>
        </w:rPr>
        <w:t>Propanc Biopharma company website — management team (CEO James Nathanielsz, 2 employees), PRP pipeline, mission,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PPCB key statistics: $0.12 price, $2.7M market cap, -1812% ROE, 567% D/E, 4.0M avg volume,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