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PPG</w:t>
      </w:r>
      <w:r>
        <w:rPr>
          <w:rFonts w:ascii="Calibri" w:hAnsi="Calibri"/>
          <w:b/>
          <w:color w:val="1A2010"/>
          <w:sz w:val="40"/>
        </w:rPr>
        <w:t xml:space="preserve">  PPG Industries, Inc.</w:t>
      </w:r>
    </w:p>
    <w:p>
      <w:pPr>
        <w:spacing w:after="120"/>
      </w:pPr>
      <w:r>
        <w:rPr>
          <w:rFonts w:ascii="Calibri" w:hAnsi="Calibri"/>
          <w:b/>
          <w:color w:val="6E8450"/>
          <w:sz w:val="18"/>
        </w:rPr>
        <w:t>DIVIDEND SLEEVE · 2026-04-16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PPG Industries, Inc. manufactures and distributes paints, coatings, and specialty materials worldwide. The company operates through Performance Coatings and Industrial Coatings segments, serving automotive, aerospace, industrial, marine, architectural, and protective end markets across 70+ countries.</w:t>
      </w:r>
    </w:p>
    <w:p>
      <w:r>
        <w:rPr>
          <w:rFonts w:ascii="Calibri" w:hAnsi="Calibri"/>
          <w:b/>
          <w:color w:val="6E8450"/>
          <w:sz w:val="18"/>
        </w:rPr>
        <w:t>43,500 Employees · https://www.ppg.com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PPG has completed 60+ acquisitions and divestitures over the past 20 years, evolving from a diversified industrial conglomerate (glass, chemicals, coatings) to a pure-play coatings company, but this transformation happened over a decade ago rather than in the last five years [2]. Recent growth has been organic and incremental — 2% organic growth in 2025 driven by pricing and modest volume gains. AI Deployment (1/2): CIO Bhaskar Ramachandran is driving a 'cloud-only' transformation strategy incorporating AI for color-matching technology, predictive maintenance, and supply chain optimization, though no specific revenue figures or quantified savings have been publicly disclosed [2]. Market Share (2/2): PPG is the world's largest coatings company by revenue at $15.9B, holding leadership positions across aerospace coatings, automotive OEM, automotive refinish, and architectural coatings with a global manufacturing footprint spanning 70+ countries [1]. Pipeline (0/2): No next-generation products with specific launch dates or revenue visibility were discussed in recent earnings calls; growth is expected from share gains and geographic expansion rather than breakthrough product launches [1]. R&amp;D Intensity (1/1): PPG invests approximately $500M annually in R&amp;D, maintaining technology leadership in sustainable coatings formulations and color-matching systems that exceed specialty chemical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PPG's purpose is 'We protect and beautify the world' — concise and connects the company's coatings work to a tangible outcome, differentiating from generic chemical company missions, but ultimately functional rather than transformative in the way Sinek would demand [2]. Community Impact (2/2): PPG's 'Colorful Communities' program has completed 500+ projects in 50+ countries, with specific school painting, community center renovation, and neighborhood revitalization initiatives; the PPG Foundation provides additional charitable giving focused on STEM education and community development [3]. Employee Retention (1/2): PPG employs 43,500 people globally with leadership continuity — CEO Timothy Knavish was promoted from within after a long tenure at the company, and the recent leadership transitions were orderly succession planning across divisions, suggesting organizational stability [2]. Insider Buying (1/2): Stock awards granted to CEO Knavish ($3.2M in shares) and CFO Morales demonstrate equity alignment, though no open-market purchases were identified; officer Anne Foulkes sold $448K in February 2026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PPG's infrastructure metrics are strong across the board for a specialty chemicals company. D/E of 97.6% scores 0.88, comfortably within the healthy range for a capital-intensive manufacturer [4]. ROE of 21.1% exceeds the 15% target (scoring 1.0), and Forward P/E of 12.6x is well below the 20x target (scoring 1.0), offering attractive valuation for a market leader [4]. Profit margin of 9.9% is below the 20% target (scoring 0.50), reflecting specialty chemical industry norms. Revenue grew 5% YoY with FY2026 guidance of flat-to-low-single-digit organic growth; the 3-year CAGR of 0.6% scores 0.37, the weakest core metric [1]. Dividend metrics are excellent: 40.2% payout ratio (near target), 53 consecutive years of dividend increases (Dividend Aristocrat), and an estimated 5% 5-year dividend growth CAGR [1][4]. Liquidity floor easily cleared at $242M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PPG Industries exhibits strong infinite-game characteristics rooted in its 140-year heritage and consistent purpose of protecting and beautifying the world through coatings innovation. The company's transformation from a diversified industrial conglomerate to a focused coatings leader demonstrates strategic courage, and 53 consecutive years of dividend increases signal long-term orientation. However, recent growth stagnation and heavy reliance on acquisition-driven strategy suggest some finite optimization tendencies.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PPG's purpose of 'We protect and beautify the world' has genuine substance — it connects the mundane act of manufacturing coatings to tangible human outcomes (protecting infrastructure from corrosion, beautifying communities through color) and has been validated by 140 years of consistent execution in coatings [1][3]. The Colorful Communities program (500+ projects in 50+ countries) demonstrates the purpose is lived beyond the boardroom. However, the purpose hasn't been tested through a defining crisis moment in the way Sinek's highest examples require.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PPG's leadership transitions have been orderly internal promotions — CEO Knavish rose through the ranks, and recent divisional leadership changes represent planned succession rather than disruption [2]. The company employs 43,500 people globally with no evidence of mass layoffs or organizational instability. However, no exceptional trust indicators (above-average retention data, employee testimonials about culture) were found. The 60+ acquisitions over 20 years suggest employees face frequent integration cycles that may create uncertainty.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 operates in a competitive coatings market alongside Sherwin-Williams, Akzo Nobel, and RPM International, and management discusses competitive dynamics in terms of market share gains through product innovation and customer service rather than rival destruction [1]. PPG's competitive strategy focuses on being the best at serving customers' coating needs rather than defeating specific competitors.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PPG's most significant strategic transformation — divesting the glass business (the 'G' in PPG) and the chemicals business to become a pure-play coatings company — was a transformative act of existential flexibility that abandoned the company's founding business to focus on its highest-potential platform [1]. However, this transformation occurred over a decade ago and the company has since pursued incremental growth through bolt-on acquisitions rather than further transformative moves.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PPG's historical decision to divest its glass and chemicals businesses required substantial courage — abandoning the company's namesake business for a coatings-only future [1]. The $500M annual R&amp;D investment in sustainable coatings and the science-based 2030 decarbonization targets show willingness to invest for the long term [3]. However, recent strategy has been cautious — flat-to-low-single-digit organic growth guidance and reliance on acquisition-driven growth suggest incremental optimization over bold strategic bets.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PPG Industries is the world's largest coatings company at $15.9B revenue, offering a compelling quality-at-a-reasonable-price profile: 12.6x forward P/E, 21.1% ROE, 2.64% dividend yield, and 53 consecutive years of dividend increases as a Dividend Aristocrat [1][4]. Q1 2026 adjusted EPS of $1.83 grew 6% YoY, exceeding guidance, with FY2026 EPS guided at $7.70-8.10 representing mid-single-digit growth [1]. The company benefits from diversified end-market exposure across aerospace (growing), automotive, industrial, and architectural coatings, with pricing power derived from regulatory compliance requirements and customer switching costs. The Colorful Communities program and strong ESG positioning (FTSE4Good recognition for four consecutive years) align with institutional investment trends [3].</w:t>
      </w:r>
    </w:p>
    <w:p>
      <w:pPr>
        <w:spacing w:after="120"/>
      </w:pPr>
      <w:r>
        <w:rPr>
          <w:rFonts w:ascii="Calibri" w:hAnsi="Calibri"/>
          <w:b w:val="0"/>
          <w:color w:val="3A4A28"/>
          <w:sz w:val="20"/>
        </w:rPr>
        <w:t>The bear case centers on anemic organic growth and cyclical exposure. Revenue has essentially flatlined at $15.8-16.2B for three years with a 3-year CAGR of just 0.6%, and FY2026 guidance calls for only flat-to-low-single-digit organic growth, suggesting the coatings market is mature [1]. Profit margin of 9.9% is below specialty chemical peers like Sherwin-Williams (~16%), reflecting PPG's broader product mix and geographic exposure to weaker European and Chinese markets [4]. D/E of 97.6% is manageable but limits M&amp;A capacity without additional leverage. The stock has declined from $200+ in 2022 to $107, a nearly 50% drawdown reflecting investor skepticism about growth. Tariff risk is material — PPG manufactures in 70+ countries, and escalating trade tensions could disrupt supply chains and compress margins on cross-border sales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Aerospace coatings segment growth accelerating as Boeing and Airbus ramp production, driving high-margin coating demand for new aircraft deliveries and maintenance [1]</w:t>
      </w:r>
    </w:p>
    <w:p>
      <w:pPr>
        <w:spacing w:before="40" w:after="40"/>
        <w:ind w:left="283"/>
      </w:pPr>
      <w:r>
        <w:rPr>
          <w:rFonts w:ascii="Calibri" w:hAnsi="Calibri"/>
          <w:b/>
          <w:color w:val="4A6B25"/>
          <w:sz w:val="20"/>
        </w:rPr>
        <w:t xml:space="preserve">2. </w:t>
      </w:r>
      <w:r>
        <w:rPr>
          <w:rFonts w:ascii="Calibri" w:hAnsi="Calibri"/>
          <w:b w:val="0"/>
          <w:color w:val="3A4A28"/>
          <w:sz w:val="20"/>
        </w:rPr>
        <w:t>Share gains in industrial coatings and architectural coatings in Mexico providing above-market organic growth in FY2026 second half, targeting high-single-digit EPS growth H2 [1]</w:t>
      </w:r>
    </w:p>
    <w:p>
      <w:pPr>
        <w:spacing w:before="40" w:after="40"/>
        <w:ind w:left="283"/>
      </w:pPr>
      <w:r>
        <w:rPr>
          <w:rFonts w:ascii="Calibri" w:hAnsi="Calibri"/>
          <w:b/>
          <w:color w:val="4A6B25"/>
          <w:sz w:val="20"/>
        </w:rPr>
        <w:t xml:space="preserve">3. </w:t>
      </w:r>
      <w:r>
        <w:rPr>
          <w:rFonts w:ascii="Calibri" w:hAnsi="Calibri"/>
          <w:b w:val="0"/>
          <w:color w:val="3A4A28"/>
          <w:sz w:val="20"/>
        </w:rPr>
        <w:t>Sustainable coatings innovation with 44% of sales from sustainably advantaged products expanding as regulatory requirements tighten globally, reinforcing pricing power and market share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Chronic organic revenue stagnation — 3-year CAGR of 0.6% with flat-to-low-single-digit 2026 guidance suggests the global coatings market is mature, limiting growth optionality beyond M&amp;A [1]</w:t>
      </w:r>
    </w:p>
    <w:p>
      <w:pPr>
        <w:spacing w:before="40" w:after="40"/>
        <w:ind w:left="283"/>
      </w:pPr>
      <w:r>
        <w:rPr>
          <w:rFonts w:ascii="Calibri" w:hAnsi="Calibri"/>
          <w:b/>
          <w:color w:val="4A6B25"/>
          <w:sz w:val="20"/>
        </w:rPr>
        <w:t xml:space="preserve">2. </w:t>
      </w:r>
      <w:r>
        <w:rPr>
          <w:rFonts w:ascii="Calibri" w:hAnsi="Calibri"/>
          <w:b w:val="0"/>
          <w:color w:val="3A4A28"/>
          <w:sz w:val="20"/>
        </w:rPr>
        <w:t>Tariff and trade war exposure — manufacturing in 70+ countries creates significant risk from escalating tariffs, with European and Chinese operations particularly vulnerable to geopolitical disruption [1]</w:t>
      </w:r>
    </w:p>
    <w:p>
      <w:pPr>
        <w:spacing w:before="40" w:after="40"/>
        <w:ind w:left="283"/>
      </w:pPr>
      <w:r>
        <w:rPr>
          <w:rFonts w:ascii="Calibri" w:hAnsi="Calibri"/>
          <w:b/>
          <w:color w:val="4A6B25"/>
          <w:sz w:val="20"/>
        </w:rPr>
        <w:t xml:space="preserve">3. </w:t>
      </w:r>
      <w:r>
        <w:rPr>
          <w:rFonts w:ascii="Calibri" w:hAnsi="Calibri"/>
          <w:b w:val="0"/>
          <w:color w:val="3A4A28"/>
          <w:sz w:val="20"/>
        </w:rPr>
        <w:t>Below-peer profitability — 9.9% profit margin versus Sherwin-Williams at ~16% indicates structural margin disadvantage from geographic and product mix, limiting earnings leverage on flat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PPG's core business — manufacturing and distributing paints, coatings, and specialty materials — is fundamentally physical-world production that AI cannot displace [1]. Coatings require complex chemical formulation, physical manufacturing at scale, regulatory compliance (VOC regulations, aerospace certifications), and close customer relationships for color-matching and application engineering. Aerospace coatings must meet stringent FAA/EASA certification requirements that create multi-year qualification barriers. Architectural and automotive coatings require physical distribution networks and application expertise. No analysts have flagged AI as a substitution risk for specialty coatings; the competitive threats are from rival coatings companies (Sherwin-Williams, Akzo Nobel), not AI software [1]. AI may modestly improve formulation R&amp;D speed and supply chain optimization but structurally cannot replace the need for physical coatings products. AI Opportunity (0/1): No evidence of AI-generated revenue. PPG's digital transformation under CIO Ramachandran focuses on internal efficiency (cloud-only infrastructure, predictive maintenance) rather than AI products sold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PPG Industries Q4/FY2025 Earnings Release and Q1 2026 Results — $15.9B revenue, Q1 adjusted EPS $1.83 (+6%), FY2026 EPS guidance $7.70-8.10, January-April 2026</w:t>
      </w:r>
    </w:p>
    <w:p>
      <w:pPr>
        <w:spacing w:before="20" w:after="20"/>
        <w:ind w:left="170"/>
      </w:pPr>
      <w:r>
        <w:rPr>
          <w:rFonts w:ascii="Calibri" w:hAnsi="Calibri"/>
          <w:b/>
          <w:color w:val="4A6B25"/>
          <w:sz w:val="15"/>
        </w:rPr>
        <w:t xml:space="preserve">2. </w:t>
      </w:r>
      <w:r>
        <w:rPr>
          <w:rFonts w:ascii="Calibri" w:hAnsi="Calibri"/>
          <w:b w:val="0"/>
          <w:color w:val="3A4A28"/>
          <w:sz w:val="17"/>
        </w:rPr>
        <w:t>PPG Industries leadership — CEO Timothy Knavish, CIO Bhaskar Ramachandran cloud/AI transformation, 60+ acquisitions over 20 years</w:t>
      </w:r>
    </w:p>
    <w:p>
      <w:pPr>
        <w:spacing w:before="20" w:after="20"/>
        <w:ind w:left="170"/>
      </w:pPr>
      <w:r>
        <w:rPr>
          <w:rFonts w:ascii="Calibri" w:hAnsi="Calibri"/>
          <w:b/>
          <w:color w:val="4A6B25"/>
          <w:sz w:val="15"/>
        </w:rPr>
        <w:t xml:space="preserve">3. </w:t>
      </w:r>
      <w:r>
        <w:rPr>
          <w:rFonts w:ascii="Calibri" w:hAnsi="Calibri"/>
          <w:b w:val="0"/>
          <w:color w:val="3A4A28"/>
          <w:sz w:val="17"/>
        </w:rPr>
        <w:t>PPG ESG and sustainability — FTSE4Good recognition, 44% sustainably advantaged products, 500+ Colorful Communities projects, science-based 2030 targets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PPG (PPG Industries,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