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PPLC</w:t>
      </w:r>
      <w:r>
        <w:rPr>
          <w:rFonts w:ascii="Calibri" w:hAnsi="Calibri"/>
          <w:b/>
          <w:color w:val="1A2010"/>
          <w:sz w:val="40"/>
        </w:rPr>
        <w:t xml:space="preserve">  PPL Corporation</w:t>
      </w:r>
    </w:p>
    <w:p>
      <w:pPr>
        <w:spacing w:after="120"/>
      </w:pPr>
      <w:r>
        <w:rPr>
          <w:rFonts w:ascii="Calibri" w:hAnsi="Calibri"/>
          <w:b/>
          <w:color w:val="6E8450"/>
          <w:sz w:val="18"/>
        </w:rPr>
        <w:t>DIVIDEND SLEEVE · 2026-04-30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PPL Corporation provides electricity and natural gas to approximately 3.6 million customers in the United States through three regulated segments: Kentucky Regulated, Pennsylvania Regulated, and Rhode Island Regulated. The company engages in transmission, distribution, and generation of electricity from coal, gas, hydro, and solar sources. PPLC represents PPL Corporation Corporate Units (equity units) combining stock purchase contracts with senior notes, yielding 7.00% annually. Founded in 1920 and headquartered in Allentown, Pennsylvania.</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PPL has executed a significant portfolio transformation — divesting its UK utility (Western Power Distribution) in 2021 and acquiring Narragansett Electric in Rhode Island, reshaping the company into a pure-play U.S. regulated utility. Revenue grew 6.85% YoY to $9.04B in 2025 with EPS growth of 33% [1]. AI Deployment (1/2): PPL has launched a Business Reinvention initiative deploying AI, automation, and data analytics across operations, partnering with major technology firms. CEO Vince Sorgi described AI as integral to grid modernization and operational efficiency [3]. Market Share (2/2): PPL holds monopoly positions in its regulated territories — 3.6 million customers across Pennsylvania, Kentucky, and Rhode Island with no direct competitive threat to its franchise. The company has 14+ GW of generation capacity and extensive T&amp;D infrastructure [1]. Pipeline (0/2): No breakthrough products; PPL's growth is driven by rate base expansion ($23B capital plan through 2029) and data center interconnection requests rather than new product innovation [1]. R&amp;D Intensity (1/1): Significant capital investment in grid modernization, smart grid technology, and clean energy transition, with $23B planned infrastructure investment through 2029 representing top-tier utility capital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PPL's purpose — 'moving energy forward' and creating 'the utility of the future' — is clear and connects to societal benefit (reliable, clean, affordable energy), but is standard for the regulated utility industry. The company's values were recently refreshed under CEO Sorgi [3]. Community Impact (2/2): PPL serves as essential infrastructure for 3.6 million customers across three states, with its clean energy transition commitments (net-zero by 2050, coal retirement by 2034) demonstrating community responsibility. The company publishes comprehensive sustainability reports aligned with GRI, SASB, and TCFD standards [4]. Employee Retention (1/2): PPL has 6,546 employees with leadership continuity under CEO Sorgi since 2019. The company restructured to 'break down silos and speed adoption of best practices,' suggesting intentional culture work [3]. The expanded leadership team and clear organizational vision support retention. Insider Buying (1/2): No meaningful open-market insider purchases identified in recent filings, but CEO Sorgi and leadership have significant equity exposure through compensation packages, aligning their interests with shareholders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PPL's financial profile is strong for a regulated utility. FY2025 EPS of $1.81 (ongoing) grew 7.1% with 2026 guidance of $1.90-$1.98 (7.2% growth at midpoint) [1]. Forward P/E of 18.3x is attractive for a utility targeting 6-8% annual EPS growth through 2029. Revenue grew 6.85% to $9.04B with operating cash flow of $2.63B [5]. D/E of 131.1% is typical for regulated utilities with predictable cash flows. The 42-year consecutive dividend history provides income reliability, with the dividend growing at a 7.7% 3-year CAGR since the 2022 reset. Payout ratio of 68.6% is manageable given regulated earnings visibility. Rate base growth of 10.3% annually through $23B of infrastructure investment provides long-term earnings visibility [1]. The PPLC corporate units yield 7.0% including stock purchase contracts and senior notes.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PPL demonstrates strong infinite game characteristics for a regulated utility. The company's 106-year history since 1920, 42 consecutive years of dividends, and net-zero by 2050 commitment reflect long-term orientation. CEO Sorgi's 'Utility of the Future' vision and $23B capital investment plan through 2029 show willingness to invest for decades-long infrastructure needs. The clean energy transition strategy — retiring 2,000 MW of coal by 2034 while building renewables — demonstrates the courage to transform while maintaining reliability.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PPL's purpose of providing reliable, affordable, clean energy to 3.6 million customers connects to essential human needs. The 'Utility of the Future' vision articulates a genuine aspiration beyond quarterly results — getting 'stronger, smarter, cleaner, more resilient, and highly efficient' [3]. The net-zero by 2050 commitment with specific interim targets (70% reduction by 2035, 80% by 2040) gives the cause concrete accountability. However, as a regulated monopoly, the cause is partly mandated rather than voluntarily chosen.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Sorgi has built 'a strong, experienced, and highly collaborative leadership team' and restructured the organization to 'break down silos and speed adoption of best practices' [3]. The expanded leadership team and appointment of a Chief Technology and Innovation Officer demonstrate investment in organizational capability. However, at 6,546 employees, PPL is relatively lean for a multi-state utility, and there is limited public evidence of exceptional employee trust or culture beyond organizational structure changes.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 demonstrates an infinite competitive mindset by partnering with 'some of the biggest and brightest technology firms in the world' to achieve its vision rather than trying to build everything internally [3]. The company's engagement with industry frameworks (EEI, TCFD, SASB) and willingness to learn from best practices across utilities shows collaborative rather than adversarial competitive thinking.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 made a transformative strategic pivot in 2021 — divesting its UK utility (Western Power Distribution) for $10.4B and acquiring Narragansett Electric in Rhode Island, fundamentally reshaping from an international utility to a pure-play U.S. regulated operator [1]. The commitment to retire 2,000 MW of coal generation by 2034 while investing in clean energy represents willingness to abandon a legacy asset base. These are significant but not paradigm-shifting changes for a utility. Score: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PPL has demonstrated meaningful courage: selling a profitable UK utility to focus on U.S. regulated operations required conviction against short-term diversification benefits. Committing $23B in infrastructure investment through 2029 at 10.3% annual rate base growth represents one of the largest utility capex programs relative to size [1]. The coal retirement commitment — voluntarily retiring profitable generation assets in service of clean energy — requires courage to forgo near-term earnings. CEO Sorgi's Business Reinvention initiative embraces AI and technology transformation when many utility peers are slower to adapt.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Corporation is a high-quality regulated utility positioned as a prime beneficiary of the AI-driven electricity demand surge. The company serves 3.6 million customers across Pennsylvania, Kentucky, and Rhode Island and is seeing 'massive data center requests' that it had not anticipated [3]. FY2025 EPS of $1.81 grew 7.1% with 2026 guidance of $1.90-$1.98, and management targets 6-8% annual EPS growth through 2029 driven by $23B in infrastructure investment at 10.3% annual rate base growth [1]. Forward P/E of 18.3x is reasonable for this growth profile. The 42-year dividend history with 2.95% current yield and 7.7% recent dividend growth CAGR provides income reliability. The PPLC corporate units (equity units) yield 7.0% including stock purchase contracts and senior notes, offering enhanced income with mandatory stock conversion by February 2029.</w:t>
      </w:r>
    </w:p>
    <w:p>
      <w:pPr>
        <w:spacing w:after="120"/>
      </w:pPr>
      <w:r>
        <w:rPr>
          <w:rFonts w:ascii="Calibri" w:hAnsi="Calibri"/>
          <w:b w:val="0"/>
          <w:color w:val="3A4A28"/>
          <w:sz w:val="20"/>
        </w:rPr>
        <w:t>The bear case centers on utility-specific risks. D/E of 131.1% and $19.5B total debt create interest rate sensitivity — rising rates compress utility valuations and increase financing costs for the $23B capital plan [5]. ROE of 8.16% is below the 15% target, reflecting the capital-intensive, regulated return model where allowed ROEs are set by regulators, not market forces. The 2022 dividend cut from $1.66 to $0.875 (47% reduction following the UK utility sale) demonstrates that dividend reliability is not absolute despite the 42-year payment streak. Coal generation exposure (2,000 MW retiring by 2034) creates transitional execution risk and potential stranded asset charges. Regulatory proceedings across three states create uncertainty on allowed returns, capital recovery, and rate structure. The PPLC corporate units add complexity — mandatory stock purchase by 2029 means holders will own common shares at potentially unfavorable prices if the stock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electricity demand creating unprecedented load growth in PPL's Pennsylvania and Kentucky territories, accelerating rate base investment and earnings growth [3]</w:t>
      </w:r>
    </w:p>
    <w:p>
      <w:pPr>
        <w:spacing w:before="40" w:after="40"/>
        <w:ind w:left="283"/>
      </w:pPr>
      <w:r>
        <w:rPr>
          <w:rFonts w:ascii="Calibri" w:hAnsi="Calibri"/>
          <w:b/>
          <w:color w:val="4A6B25"/>
          <w:sz w:val="20"/>
        </w:rPr>
        <w:t xml:space="preserve">2. </w:t>
      </w:r>
      <w:r>
        <w:rPr>
          <w:rFonts w:ascii="Calibri" w:hAnsi="Calibri"/>
          <w:b w:val="0"/>
          <w:color w:val="3A4A28"/>
          <w:sz w:val="20"/>
        </w:rPr>
        <w:t>$23B infrastructure capital plan through 2029 at 10.3% annual rate base growth, providing long-term EPS visibility of 6-8% annually [1]</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 2,000 MW coal retirement by 2034 replaced by renewable generation, positioning PPL for favorable regulatory treatment and ESG-driven capital flows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$19.5B debt and $23B forward capital plan create significant exposure to rising borrowing costs that compress utility valuations and increase financing expenses [5]</w:t>
      </w:r>
    </w:p>
    <w:p>
      <w:pPr>
        <w:spacing w:before="40" w:after="40"/>
        <w:ind w:left="283"/>
      </w:pPr>
      <w:r>
        <w:rPr>
          <w:rFonts w:ascii="Calibri" w:hAnsi="Calibri"/>
          <w:b/>
          <w:color w:val="4A6B25"/>
          <w:sz w:val="20"/>
        </w:rPr>
        <w:t xml:space="preserve">2. </w:t>
      </w:r>
      <w:r>
        <w:rPr>
          <w:rFonts w:ascii="Calibri" w:hAnsi="Calibri"/>
          <w:b w:val="0"/>
          <w:color w:val="3A4A28"/>
          <w:sz w:val="20"/>
        </w:rPr>
        <w:t>Regulatory risk across three state jurisdictions — allowed ROE decisions, capital recovery mechanisms, and rate case outcomes directly determine earnings and could disappoint if regulators push back on rate increases [1]</w:t>
      </w:r>
    </w:p>
    <w:p>
      <w:pPr>
        <w:spacing w:before="40" w:after="40"/>
        <w:ind w:left="283"/>
      </w:pPr>
      <w:r>
        <w:rPr>
          <w:rFonts w:ascii="Calibri" w:hAnsi="Calibri"/>
          <w:b/>
          <w:color w:val="4A6B25"/>
          <w:sz w:val="20"/>
        </w:rPr>
        <w:t xml:space="preserve">3. </w:t>
      </w:r>
      <w:r>
        <w:rPr>
          <w:rFonts w:ascii="Calibri" w:hAnsi="Calibri"/>
          <w:b w:val="0"/>
          <w:color w:val="3A4A28"/>
          <w:sz w:val="20"/>
        </w:rPr>
        <w:t>Data center demand execution risk — converting 'massive' interconnection requests into actual load growth requires successful grid buildout, permitting, and customer commitment that may take years to materialize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PPL is structurally immune to AI disruption — regulated electricity distribution and transmission cannot be replaced by software. AI is a massive demand catalyst for PPL: data centers require enormous electricity, and PPL is seeing 'massive data center requests to connect to its grids in Pennsylvania and Kentucky — demand at a scale it hadn't anticipated just a few years ago' [3]. The regulated utility model provides additional protection through franchise monopolies, guaranteed returns on invested capital, and regulatory barriers to entry. AI increases demand for PPL's core product (electricity) rather than threatening it. AI Opportunity (1/1): PPL generates meaningful AI-related revenue growth through data center interconnection and load growth. The company's $23B capital plan through 2029 is partly driven by AI-related grid expansion [1][3]. PPL is also deploying AI internally for grid optimization, outage prediction, and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FY2025 Earnings Release — EPS $1.81, revenue $9.04B, 2026 guidance $1.90-$1.98, $23B capital plan through 2029, February 2026</w:t>
      </w:r>
    </w:p>
    <w:p>
      <w:pPr>
        <w:spacing w:before="20" w:after="20"/>
        <w:ind w:left="170"/>
      </w:pPr>
      <w:r>
        <w:rPr>
          <w:rFonts w:ascii="Calibri" w:hAnsi="Calibri"/>
          <w:b/>
          <w:color w:val="4A6B25"/>
          <w:sz w:val="15"/>
        </w:rPr>
        <w:t xml:space="preserve">2. </w:t>
      </w:r>
      <w:r>
        <w:rPr>
          <w:rFonts w:ascii="Calibri" w:hAnsi="Calibri"/>
          <w:b w:val="0"/>
          <w:color w:val="3A4A28"/>
          <w:sz w:val="17"/>
        </w:rPr>
        <w:t>PRNewswire — PPL equity units offering (PPLC) at $50 stated amount, 7.00% annual distribution, February 2026</w:t>
      </w:r>
    </w:p>
    <w:p>
      <w:pPr>
        <w:spacing w:before="20" w:after="20"/>
        <w:ind w:left="170"/>
      </w:pPr>
      <w:r>
        <w:rPr>
          <w:rFonts w:ascii="Calibri" w:hAnsi="Calibri"/>
          <w:b/>
          <w:color w:val="4A6B25"/>
          <w:sz w:val="15"/>
        </w:rPr>
        <w:t xml:space="preserve">3. </w:t>
      </w:r>
      <w:r>
        <w:rPr>
          <w:rFonts w:ascii="Calibri" w:hAnsi="Calibri"/>
          <w:b w:val="0"/>
          <w:color w:val="3A4A28"/>
          <w:sz w:val="17"/>
        </w:rPr>
        <w:t>Electric Perspectives — CEO Vince Sorgi interview on AI, data centers, and Utility of the Future strategy, 2026</w:t>
      </w:r>
    </w:p>
    <w:p>
      <w:pPr>
        <w:spacing w:before="20" w:after="20"/>
        <w:ind w:left="170"/>
      </w:pPr>
      <w:r>
        <w:rPr>
          <w:rFonts w:ascii="Calibri" w:hAnsi="Calibri"/>
          <w:b/>
          <w:color w:val="4A6B25"/>
          <w:sz w:val="15"/>
        </w:rPr>
        <w:t xml:space="preserve">4. </w:t>
      </w:r>
      <w:r>
        <w:rPr>
          <w:rFonts w:ascii="Calibri" w:hAnsi="Calibri"/>
          <w:b w:val="0"/>
          <w:color w:val="3A4A28"/>
          <w:sz w:val="17"/>
        </w:rPr>
        <w:t>PPL Corporation 2024 Sustainability Report — net-zero by 2050, coal retirement by 2034, GRI/SASB/TCFD aligned</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PPL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