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PPL</w:t>
      </w:r>
      <w:r>
        <w:rPr>
          <w:rFonts w:ascii="Calibri" w:hAnsi="Calibri"/>
          <w:b/>
          <w:color w:val="1A2010"/>
          <w:sz w:val="40"/>
        </w:rPr>
        <w:t xml:space="preserve">  PPL Corporation</w:t>
      </w:r>
    </w:p>
    <w:p>
      <w:pPr>
        <w:spacing w:after="120"/>
      </w:pPr>
      <w:r>
        <w:rPr>
          <w:rFonts w:ascii="Calibri" w:hAnsi="Calibri"/>
          <w:b/>
          <w:color w:val="6E8450"/>
          <w:sz w:val="18"/>
        </w:rPr>
        <w:t>DIVIDEND SLEEVE · 2026-03-27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PPL Corporation is a leading U.S. energy company providing electricity and natural gas to approximately 3.6 million customers through regulated utility subsidiaries in Kentucky, Pennsylvania, and Rhode Island.</w:t>
      </w:r>
    </w:p>
    <w:p>
      <w:r>
        <w:rPr>
          <w:rFonts w:ascii="Calibri" w:hAnsi="Calibri"/>
          <w:b/>
          <w:color w:val="6E8450"/>
          <w:sz w:val="18"/>
        </w:rPr>
        <w:t>6,546 Employees · https://www.pplweb.com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Sorgi's 'Utility of the Future' strategy has driven PPL to hire an EVP of Technology and Innovation and partner with major tech firms for AI-powered grid modernization [2]. The company is deploying digital solutions and AI across its infrastructure to meet surging data center demand, with a $23 billion capital plan through 2029 targeting 10.3% annual rate base growth [1]. PPL achieved $170 million in annual O&amp;M savings in 2025, nearly a year ahead of schedule.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Sorgi's vision of 'enabling the AI revolution' while delivering affordable, reliable power provides a clear sense of purpose [2]. His industry leadership as former EPRI Chair and EEI board member demonstrates commitment beyond PPL. However, the company's relatively small workforce of 6,546 employees limits the breadth of cultural impact data available for assessment.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 delivered 7.1% ongoing EPS growth in 2025 ($1.81 vs. $1.69) and guides 2026 EPS of $1.90-$1.98, a 7.2% increase [1]. The $23B capex plan through 2029 supports 10.3% average rate base growth, and the dividend was raised 4.6% to $0.285/quarter. Debt-to-equity of 131% is typical for regulated utilities, and the 68.6% payout ratio is well-covered by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PPL demonstrates strong long-term infrastructure investment vision under Sorgi's 'Utility of the Future' strategy, but the inherently regulated business model constrains existential flexibility and competitive dynamics are limited within the utility sector.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PPL's mission of delivering reliable, affordable, and increasingly clean power to 3.6 million customers represents a genuine community service purpose [2]. The company's $23B infrastructure plan explicitly addresses grid resilience, clean energy transition, and enabling the AI economy.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PPL's lean workforce of 6,546 employees enables focused culture-building, and the company emphasizes operational excellence. However, limited public employee sentiment data and the utility industry's traditionally hierarchical structure suggest moderate team trust dynamics.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PPL has limited direct competitive rivals. However, Sorgi has been vocal about learning from the broader energy transition, comparing PPL's approach to leading tech utilities and acknowledging that 'the grid doesn't care who wins the debate — it just needs solutions'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PPL's decision to shed international assets and focus on high-tech U.S. infrastructure demonstrates strategic flexibility [2]. The pivot toward data center demand and AI-enabled grid management shows willingness to evolve, though the regulated model inherently limits transformational moves.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 was among the first utilities to hire a dedicated EVP of Technology and Innovation, and Sorgi has been an industry thought leader on grid modernization [2]. The $23B capex commitment and 10.3% rate base growth target represent bold capital deployment for a regulated utility.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PPL offers a compelling regulated utility value proposition with 6-8% annual EPS growth, a 3.0% dividend yield (recently increased 4.6%), and a 10-12% total return target through 2029 [1]. The $23B capital plan targeting 10.3% rate base growth is powered by surging data center demand and grid modernization needs, with PJM capacity shortages creating regulatory tailwinds for infrastructure investment. CEO Sorgi's 'Utility of the Future' strategy has delivered ahead-of-schedule cost savings and positioned PPL to profit from the AI energy boom [2].</w:t>
      </w:r>
    </w:p>
    <w:p>
      <w:pPr>
        <w:spacing w:after="120"/>
      </w:pPr>
      <w:r>
        <w:rPr>
          <w:rFonts w:ascii="Calibri" w:hAnsi="Calibri"/>
          <w:b w:val="0"/>
          <w:color w:val="3A4A28"/>
          <w:sz w:val="20"/>
        </w:rPr>
        <w:t>The bear case centers on PPL's capital intensity and regulatory risk. The $23B capex plan requires $3.4B in equity issuance and $16B in debt, which could pressure the balance sheet if interest rates remain elevated. Revenue growth of only 2.8% in 2025 reflects the slow-moving nature of rate case approvals, and the 131% D/E ratio is already high relative to utility peers. Data center demand, while promising, depends on continued hyperscaler capex that could moderate if AI investment cycles slow. The 17.8x forward P/E offers less valuation cushion than deep-value utility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PJM capacity shortages projected for 2026/2027 delivery year create urgency for grid investment approvals, supporting PPL's $23B capex plan [1][2]</w:t>
      </w:r>
    </w:p>
    <w:p>
      <w:pPr>
        <w:spacing w:before="40" w:after="40"/>
        <w:ind w:left="283"/>
      </w:pPr>
      <w:r>
        <w:rPr>
          <w:rFonts w:ascii="Calibri" w:hAnsi="Calibri"/>
          <w:b/>
          <w:color w:val="4A6B25"/>
          <w:sz w:val="20"/>
        </w:rPr>
        <w:t xml:space="preserve">2. </w:t>
      </w:r>
      <w:r>
        <w:rPr>
          <w:rFonts w:ascii="Calibri" w:hAnsi="Calibri"/>
          <w:b w:val="0"/>
          <w:color w:val="3A4A28"/>
          <w:sz w:val="20"/>
        </w:rPr>
        <w:t>Data center interconnection requests in Pennsylvania and Kentucky could accelerate rate base growth above the 10.3% target through incremental capital deployment</w:t>
      </w:r>
    </w:p>
    <w:p>
      <w:pPr>
        <w:spacing w:before="40" w:after="40"/>
        <w:ind w:left="283"/>
      </w:pPr>
      <w:r>
        <w:rPr>
          <w:rFonts w:ascii="Calibri" w:hAnsi="Calibri"/>
          <w:b/>
          <w:color w:val="4A6B25"/>
          <w:sz w:val="20"/>
        </w:rPr>
        <w:t xml:space="preserve">3. </w:t>
      </w:r>
      <w:r>
        <w:rPr>
          <w:rFonts w:ascii="Calibri" w:hAnsi="Calibri"/>
          <w:b w:val="0"/>
          <w:color w:val="3A4A28"/>
          <w:sz w:val="20"/>
        </w:rPr>
        <w:t>O&amp;M savings program exceeded $170M target a year ahead of schedule; continued operational efficiency could drive EPS above the 6-8% growth corridor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interest rates could increase the cost of the $16B in planned debt issuance, compressing the spread between earned returns and cost of capital [1]</w:t>
      </w:r>
    </w:p>
    <w:p>
      <w:pPr>
        <w:spacing w:before="40" w:after="40"/>
        <w:ind w:left="283"/>
      </w:pPr>
      <w:r>
        <w:rPr>
          <w:rFonts w:ascii="Calibri" w:hAnsi="Calibri"/>
          <w:b/>
          <w:color w:val="4A6B25"/>
          <w:sz w:val="20"/>
        </w:rPr>
        <w:t xml:space="preserve">2. </w:t>
      </w:r>
      <w:r>
        <w:rPr>
          <w:rFonts w:ascii="Calibri" w:hAnsi="Calibri"/>
          <w:b w:val="0"/>
          <w:color w:val="3A4A28"/>
          <w:sz w:val="20"/>
        </w:rPr>
        <w:t>Regulatory lag in rate case approvals across Kentucky, Pennsylvania, and Rhode Island could delay cost recovery and pressure near-term earnings</w:t>
      </w:r>
    </w:p>
    <w:p>
      <w:pPr>
        <w:spacing w:before="40" w:after="40"/>
        <w:ind w:left="283"/>
      </w:pPr>
      <w:r>
        <w:rPr>
          <w:rFonts w:ascii="Calibri" w:hAnsi="Calibri"/>
          <w:b/>
          <w:color w:val="4A6B25"/>
          <w:sz w:val="20"/>
        </w:rPr>
        <w:t xml:space="preserve">3. </w:t>
      </w:r>
      <w:r>
        <w:rPr>
          <w:rFonts w:ascii="Calibri" w:hAnsi="Calibri"/>
          <w:b w:val="0"/>
          <w:color w:val="3A4A28"/>
          <w:sz w:val="20"/>
        </w:rPr>
        <w:t>Data center demand concentration risk — if major hyperscaler capex cycles moderate, PPL's growth premium could compress toward commodity utility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major enabler for PPL on two fronts: surging data center electricity demand is driving rate base growth and capex expansion, while AI-driven grid management and predictive maintenance improve operational efficiency [2]. PJM's warning of capacity shortages as early as 2026/2027 creates regulatory tailwinds for grid investment. The regulated utility model with guaranteed returns makes PPL one of the clearest AI beneficiaries in the utility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PPL Corporation FY2025 Earnings Release and 2029 Business Plan Update, February 20, 2026</w:t>
      </w:r>
    </w:p>
    <w:p>
      <w:pPr>
        <w:spacing w:before="20" w:after="20"/>
        <w:ind w:left="170"/>
      </w:pPr>
      <w:r>
        <w:rPr>
          <w:rFonts w:ascii="Calibri" w:hAnsi="Calibri"/>
          <w:b/>
          <w:color w:val="4A6B25"/>
          <w:sz w:val="15"/>
        </w:rPr>
        <w:t xml:space="preserve">2. </w:t>
      </w:r>
      <w:r>
        <w:rPr>
          <w:rFonts w:ascii="Calibri" w:hAnsi="Calibri"/>
          <w:b w:val="0"/>
          <w:color w:val="3A4A28"/>
          <w:sz w:val="17"/>
        </w:rPr>
        <w:t>PPL Corporation CEO Vince Sorgi — Electric Perspectives Interview and LinkedIn Commentary,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PPL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