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PRGO</w:t>
      </w:r>
      <w:r>
        <w:rPr>
          <w:rFonts w:ascii="Calibri" w:hAnsi="Calibri"/>
          <w:b/>
          <w:color w:val="1A2010"/>
          <w:sz w:val="40"/>
        </w:rPr>
        <w:t xml:space="preserve">  Perrigo Company plc</w:t>
      </w:r>
    </w:p>
    <w:p>
      <w:pPr>
        <w:spacing w:after="120"/>
      </w:pPr>
      <w:r>
        <w:rPr>
          <w:rFonts w:ascii="Calibri" w:hAnsi="Calibri"/>
          <w:b/>
          <w:color w:val="6E8450"/>
          <w:sz w:val="18"/>
        </w:rPr>
        <w:t>DIVIDEND SLEEVE · 2026-04-09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Ireland</w:t>
      </w:r>
    </w:p>
    <w:p>
      <w:pPr>
        <w:spacing w:after="80"/>
      </w:pPr>
      <w:r>
        <w:rPr>
          <w:rFonts w:ascii="Calibri" w:hAnsi="Calibri"/>
          <w:b w:val="0"/>
          <w:color w:val="3A4A28"/>
          <w:sz w:val="20"/>
        </w:rPr>
        <w:t>Perrigo is a leading provider of over-the-counter consumer self-care products, offering store-brand alternatives to national brands across upper respiratory, pain relief, digestive health, infant formula, oral care, skin care, and women's health categories. The company operates through Consumer Self-Care Americas and Consumer Self-Care International segments, serving retail drug, supermarket, and mass merchandise chains globally. Founded in 1887 and headquartered in Dublin, Ireland.</w:t>
      </w:r>
    </w:p>
    <w:p>
      <w:r>
        <w:rPr>
          <w:rFonts w:ascii="Calibri" w:hAnsi="Calibri"/>
          <w:b/>
          <w:color w:val="6E8450"/>
          <w:sz w:val="18"/>
        </w:rPr>
        <w:t>8,100 Employees · https://www.perrigo.com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Perrigo's acquisition of HRA Pharma in 2022 brought Opill (the first OTC birth control pill approved by the FDA in 2023), a meaningful product expansion, but the company has otherwise struggled with execution — revenue declined from $4.66B in 2023 to $4.25B in 2025 [1]. AI Deployment (0/2): No evidence of AI-powered products or quantified AI-driven operational savings in manufacturing or supply chain [2]. Market Share (1/2): Perrigo is the largest store-brand OTC healthcare company in the Americas, holding leading positions in multiple OTC categories, but faces share erosion from branded competitors and private-label pricing pressure [1]. Pipeline (0/2): The innovation pipeline reportedly tripled in value under new leadership, but no specific next-gen products with launch dates or revenue visibility were disclosed; the Disruptive Growth Team under Alison Ives is still in formation [2]. R&amp;D Intensity (1/1): Appointed Abbie Lennox as Chief Scientific Officer and expanded the scientific office, demonstrating above-average R&amp;D commitment for a generic/store-brand manufacturer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Perrigo's purpose — 'making lives better by bringing Quality, Affordable Self-Care Products that consumers trust everywhere they are sold' — is clear and identifies its audience but is not distinctive among consumer health companies; it describes what the company does rather than an aspirational future state [3]. Community Impact (0/2): No evidence of significant charitable programs, foundation activity, or community investment with specific dollar amounts; general corporate sustainability commitments exist but are standard for the industry [3]. Employee Retention (0/2): Over 200 employees walked off the job over disputes about overtime protection and retirement contributions, indicating labor tensions and below-average employee relations [3]. Insider Buying (1/2): CEO Patrick Lockwood-Taylor has maintained leadership continuity and engaged actively with investor conferences, but no evidence of meaningful net insider buying in the last 12 months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Perrigo's infrastructure reflects a company under financial stress. D/E of 131.2% is elevated but manageable, and forward P/E of 4.5x is deeply discounted, suggesting the market prices significant risk [4]. However, ROE is deeply negative (-38.7%) and profit margins are negative (-33.5%) due to substantial impairment charges and restructuring costs [1]. Revenue declined 2.5% YoY to $4.25B with a 3-year CAGR of -1.5%. The dividend profile is deteriorating: while Perrigo has paid dividends for 23 consecutive years, the annual payout was cut from $1.10 in 2024 to $0.87 in 2025, ending consecutive growth streaks [4]. Payout ratio of 109.5% is unsustainable on trailing earnings. The 5-year dividend growth CAGR is negative (-0.7%). Liquidity floor cleared: 3.25M avg vol × $10.83 = $35.2M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Perrigo plays a largely finite game, focused on quarterly earnings recovery, cost restructuring, and near-term financial stabilization. The company's frequent strategic pivots — from specialty pharma to consumer self-care to restructuring — suggest reactive management rather than enduring purpose. The 2025 organizational restructuring, layoffs, and dividend cut reflect survival-mode decision-making. CEO Lockwood-Taylor's language centers on 'tangible results' and 'financial performance' rather than long-term mission advancement.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Perrigo's purpose of making affordable self-care accessible has merit but reads as a marketing statement — interchangeable with any generic pharmaceutical company [3]. Leadership discussions at earnings calls focus on cost savings, margin recovery, and restructuring execution rather than advancing a vision of democratized healthcare [1]. The purpose hasn't been validated through consistent execution; strategic direction has shifted multiple times in the last decade.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signals dominate — over 200 employees staged a walkout over overtime and retirement benefit disputes, and the 2025 reorganization eliminated regional presidencies and consolidated leadership under a global category-led model [2][3]. The Chief Scientific Officer was replaced, the supply chain leadership transitioned, and workforce reductions have been ongoing. These are markers of organizational instability, not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Perrigo's competitive language focuses on market share defense against branded OTC competitors (J&amp;J, Reckitt Benckiser) and other store-brand manufacturers rather than learning from rivals' strengths [1]. The company frames competition as protecting shelf space rather than improving its own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Perrigo pivoted from a specialty pharmaceutical company to a pure-play consumer self-care business, divesting its generic Rx segment and acquiring HRA Pharma to strengthen its OTC portfolio [1]. This represents meaningful business model evolution, though it was driven more by competitive necessity (loss of Rx pricing power) than by advancing a just cause. The creation of a Disruptive Growth Team signals continued willingness to evolve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The dividend cut in 2025, ongoing restructuring, and FY2026 guidance for 5.5% revenue decline suggest leadership is managing a deteriorating situation rather than investing through adversity [1]. Cost-cutting and organizational consolidation are defensive moves, not courageous ones.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Perrigo trades at a deeply discounted 4.5x forward P/E with a 10.7% dividend yield, reflecting substantial market skepticism about the company's turnaround trajectory [4]. The bull case rests on the company being the largest store-brand OTC healthcare provider in the Americas with $4.25B in revenue, a defensive end market (people buy OTC medicine regardless of economic conditions), and a restructuring program targeting operational efficiency gains in 2026-2028 [1]. The Opill OTC birth control launch represents a genuine category expansion, the innovation pipeline has reportedly tripled in value, and forward earnings of $2.25-$2.55 per share imply the stock trades at less than 5x recovery earnings [1]. If management executes on cost savings and stabilizes the top line, meaningful earnings recovery is achievable.</w:t>
      </w:r>
    </w:p>
    <w:p>
      <w:pPr>
        <w:spacing w:after="120"/>
      </w:pPr>
      <w:r>
        <w:rPr>
          <w:rFonts w:ascii="Calibri" w:hAnsi="Calibri"/>
          <w:b w:val="0"/>
          <w:color w:val="3A4A28"/>
          <w:sz w:val="20"/>
        </w:rPr>
        <w:t>The bear case is formidable. Revenue has declined from $4.66B in 2023 to $4.25B in 2025, with FY2026 guidance calling for a further 1.5-5.5% decline [1]. Profit margins are deeply negative (-33.5%) due to impairment charges, plant under-absorption from lower volumes, and restructuring costs. The $3.85B debt load against $532M cash creates leverage risk with D/E at 131%. The dividend cut in 2025 and unsustainable 109.5% payout ratio on trailing earnings signal financial distress. Employee walkouts and leadership turnover (CSO replaced, supply chain leadership transitioned) indicate operational instability [2][3]. The infant formula business, which drove the HRA Pharma acquisition thesis, faces competitive headwinds and volume declines. Free cash flow of just $28M in 2025 leaves virtually no margin for error on debt service and capital allocation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Organizational restructuring under global category-led model targeting operational efficiency and cost savings beginning in 2026, with Disruptive Growth Team pursuing category expansion [2]</w:t>
      </w:r>
    </w:p>
    <w:p>
      <w:pPr>
        <w:spacing w:before="40" w:after="40"/>
        <w:ind w:left="283"/>
      </w:pPr>
      <w:r>
        <w:rPr>
          <w:rFonts w:ascii="Calibri" w:hAnsi="Calibri"/>
          <w:b/>
          <w:color w:val="4A6B25"/>
          <w:sz w:val="20"/>
        </w:rPr>
        <w:t xml:space="preserve">2. </w:t>
      </w:r>
      <w:r>
        <w:rPr>
          <w:rFonts w:ascii="Calibri" w:hAnsi="Calibri"/>
          <w:b w:val="0"/>
          <w:color w:val="3A4A28"/>
          <w:sz w:val="20"/>
        </w:rPr>
        <w:t>Opill OTC birth control pill distribution expansion as the first FDA-approved OTC contraceptive, potentially driving new revenue growth in women's health [1]</w:t>
      </w:r>
    </w:p>
    <w:p>
      <w:pPr>
        <w:spacing w:before="40" w:after="40"/>
        <w:ind w:left="283"/>
      </w:pPr>
      <w:r>
        <w:rPr>
          <w:rFonts w:ascii="Calibri" w:hAnsi="Calibri"/>
          <w:b/>
          <w:color w:val="4A6B25"/>
          <w:sz w:val="20"/>
        </w:rPr>
        <w:t xml:space="preserve">3. </w:t>
      </w:r>
      <w:r>
        <w:rPr>
          <w:rFonts w:ascii="Calibri" w:hAnsi="Calibri"/>
          <w:b w:val="0"/>
          <w:color w:val="3A4A28"/>
          <w:sz w:val="20"/>
        </w:rPr>
        <w:t>Recovery in forward earnings to $2.25-$2.55 EPS in FY2026, implying significant profit margin improvement from impairment-depressed 2025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trajectory — sales dropped from $4.66B to $4.25B over two years with FY2026 guidance for further 1.5-5.5% decline, driven by infant formula volume losses and category headwinds [1]</w:t>
      </w:r>
    </w:p>
    <w:p>
      <w:pPr>
        <w:spacing w:before="40" w:after="40"/>
        <w:ind w:left="283"/>
      </w:pPr>
      <w:r>
        <w:rPr>
          <w:rFonts w:ascii="Calibri" w:hAnsi="Calibri"/>
          <w:b/>
          <w:color w:val="4A6B25"/>
          <w:sz w:val="20"/>
        </w:rPr>
        <w:t xml:space="preserve">2. </w:t>
      </w:r>
      <w:r>
        <w:rPr>
          <w:rFonts w:ascii="Calibri" w:hAnsi="Calibri"/>
          <w:b w:val="0"/>
          <w:color w:val="3A4A28"/>
          <w:sz w:val="20"/>
        </w:rPr>
        <w:t>Leverage risk with $3.85B debt against $532M cash and free cash flow of only $28M in 2025, leaving minimal financial flexibility for debt service, dividends, and growth investment [4]</w:t>
      </w:r>
    </w:p>
    <w:p>
      <w:pPr>
        <w:spacing w:before="40" w:after="40"/>
        <w:ind w:left="283"/>
      </w:pPr>
      <w:r>
        <w:rPr>
          <w:rFonts w:ascii="Calibri" w:hAnsi="Calibri"/>
          <w:b/>
          <w:color w:val="4A6B25"/>
          <w:sz w:val="20"/>
        </w:rPr>
        <w:t xml:space="preserve">3. </w:t>
      </w:r>
      <w:r>
        <w:rPr>
          <w:rFonts w:ascii="Calibri" w:hAnsi="Calibri"/>
          <w:b w:val="0"/>
          <w:color w:val="3A4A28"/>
          <w:sz w:val="20"/>
        </w:rPr>
        <w:t>Labor unrest and organizational instability — employee walkouts over compensation disputes, leadership turnover across scientific and supply chain functions, and ongoing restructuring creating execution risk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Perrigo manufactures physical OTC healthcare products — pills, creams, infant formula, oral care devices — that require FDA-regulated manufacturing facilities, supply chain logistics, and retail distribution [1]. AI cannot substitute for the production or consumption of physical consumer healthcare products. The company's competitive advantage lies in manufacturing scale, regulatory expertise, and retailer relationships, none of which face AI displacement risk. AI may modestly benefit demand forecasting and quality control in manufacturing, but analysts express no concern about AI disrupting the OTC healthcare product market [2]. AI Opportunity (0/1): No evidence of AI-generated revenue or AI-powered products; AI is not a material revenue driver for store-brand OTC manufacturers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Perrigo Q4/FY2025 Earnings Release — $4.25B revenue, FY2026 guidance for -1.5% to -5.5% net sales growth, EPS guidance $2.25-$2.55, February 2026</w:t>
      </w:r>
    </w:p>
    <w:p>
      <w:pPr>
        <w:spacing w:before="20" w:after="20"/>
        <w:ind w:left="170"/>
      </w:pPr>
      <w:r>
        <w:rPr>
          <w:rFonts w:ascii="Calibri" w:hAnsi="Calibri"/>
          <w:b/>
          <w:color w:val="4A6B25"/>
          <w:sz w:val="15"/>
        </w:rPr>
        <w:t xml:space="preserve">2. </w:t>
      </w:r>
      <w:r>
        <w:rPr>
          <w:rFonts w:ascii="Calibri" w:hAnsi="Calibri"/>
          <w:b w:val="0"/>
          <w:color w:val="3A4A28"/>
          <w:sz w:val="17"/>
        </w:rPr>
        <w:t>Perrigo Leadership and Strategy — CEO Lockwood-Taylor, organizational restructuring to global category-led model, Disruptive Growth Team, CSO appointment, supply chain transition</w:t>
      </w:r>
    </w:p>
    <w:p>
      <w:pPr>
        <w:spacing w:before="20" w:after="20"/>
        <w:ind w:left="170"/>
      </w:pPr>
      <w:r>
        <w:rPr>
          <w:rFonts w:ascii="Calibri" w:hAnsi="Calibri"/>
          <w:b/>
          <w:color w:val="4A6B25"/>
          <w:sz w:val="15"/>
        </w:rPr>
        <w:t xml:space="preserve">3. </w:t>
      </w:r>
      <w:r>
        <w:rPr>
          <w:rFonts w:ascii="Calibri" w:hAnsi="Calibri"/>
          <w:b w:val="0"/>
          <w:color w:val="3A4A28"/>
          <w:sz w:val="17"/>
        </w:rPr>
        <w:t>Perrigo ESG and Labor Relations — Employee walkout over compensation disputes, net zero GHG target by 2040, 100% renewable electricity goal by 2026, Sustainalytics Average ESG risk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PRGO (Perrigo),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