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PRGS</w:t>
      </w:r>
      <w:r>
        <w:rPr>
          <w:rFonts w:ascii="Calibri" w:hAnsi="Calibri"/>
          <w:b/>
          <w:color w:val="1A2010"/>
          <w:sz w:val="40"/>
        </w:rPr>
        <w:t xml:space="preserve">  Progress Software Corporation</w:t>
      </w:r>
    </w:p>
    <w:p>
      <w:pPr>
        <w:spacing w:after="120"/>
      </w:pPr>
      <w:r>
        <w:rPr>
          <w:rFonts w:ascii="Calibri" w:hAnsi="Calibri"/>
          <w:b/>
          <w:color w:val="6E8450"/>
          <w:sz w:val="18"/>
        </w:rPr>
        <w:t>GROWTH SLEEVE · 2026-05-06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Progress Software Corporation provides infrastructure software products for developing, deploying, and managing AI-powered applications and digital experiences. The portfolio spans MOVEit (managed file transfer), ShareFile (document collaboration), Chef (DevOps automation), OpenEdge (application development), MarkLogic (data agility), Kemp LoadMaster (application delivery), and Flowmon (network security), serving enterprises globally.</w:t>
      </w:r>
    </w:p>
    <w:p>
      <w:r>
        <w:rPr>
          <w:rFonts w:ascii="Calibri" w:hAnsi="Calibri"/>
          <w:b/>
          <w:color w:val="6E8450"/>
          <w:sz w:val="18"/>
        </w:rPr>
        <w:t>2,801 Employees · https://www.progress.com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Progress has adopted an 'AI-first' approach across its portfolio, launching Agentic RAG-as-a-Service and embedding AI-prompt components in its Developer Tools suite, while CEO Yogesh Gupta earned EY Entrepreneur of the Year 2025 recognition for 'accelerated AI innovation' [3]. However, organic revenue growth remains in low single digits (~4% in Q1 FY2026), with the company relying on acquisitions — particularly the ShareFile deal — to drive headline growth from $753M to $978M in FY2025 [1]. The innovation strategy is more integrative than breakthrough, stitching acquired products into a broader platform rather than creating category-defining technology [1][3].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show 72% of employees recommending Progress with a 4.1/5 work-life balance score, but culture and values scored only 3.8/5 and career opportunities 3.6/5, suggesting adequate but uninspiring workplace engagement [4]. CEO Yogesh Gupta is described as 'people-centric' with active mentoring across teams, but reviews also flag concerns about leadership conduct and innovation stagnation [4]. The company's mission centers on enabling digital experiences — functional but lacking the inspirational resonance that drives exceptional employee commitment in a competitive software talent market.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Progress's financial profile shows extreme valuation attractiveness with a forward P/E of 4.8x and PEG of 0.98, reflecting the market's underpricing of normalized earnings power as MOVEit litigation costs roll off [2]. Q1 FY2026 operating margins reached 41% with EPS of $1.60 (implying ~$6.40 annualized), and full-year guidance targets $988M-$1.01B revenue with $5.91-$6.03 EPS [1]. The primary weakness is debt-to-equity of 275.8% from acquisition financing, partially offset by ROE of 18.3% and strong free cash flow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Progress Software operates with a predominantly finite mindset, executing an acquisition-driven 'buy and optimize' strategy that prioritizes operational efficiency and margin expansion over transformative vision. While CEO Yogesh Gupta has been recognized for bold leadership, the company's serial acquisition model and low organic growth suggest a focus on winning the current game rather than playing an infinite one.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Progress's mission of helping businesses 'turn AI disruption into a competitive advantage' is functional but lacks the inspirational depth of a true just cause. The company's identity is built around efficient acquisition and integration of infrastructure software products rather than a transcendent purpose, and the rotating product portfolio (adding ShareFile, sunsetting older products) suggests opportunism over conviction.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Glassdoor results — 72% recommendation rate with 3.8/5 culture score — indicate adequate but inconsistent trust. Employees praise work-life balance (4.1/5) and Gupta's mentoring approach, but flag concerns about leadership conduct and career opportunities (3.6/5), suggesting trust varies significantly by team and function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Progress competes across fragmented niches (file transfer, load balancing, DevOps, data management) with different rivals in each segment, making it difficult to identify and learn from a single worthy rival. The company's acquisition strategy implies it prefers to buy competitors rather than learn from them, which reflects a finite competitive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legacy OpenEdge dependence to a diversified AI-first portfolio via acquisitions (ShareFile, Kemp, Flowmon, MarkLogic) demonstrates meaningful business model evolution. However, this flexibility is driven by M&amp;A opportunity rather than a fundamental rethinking of the company's role, and organic growth of ~4% suggests the core business evolves slowly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Yogesh Gupta has shown courage in taking on significant acquisition debt (275.8% D/E) to transform Progress from a single-product company into a diversified software platform, earning EY Entrepreneur recognition [3]. However, the ongoing MOVEit security vulnerabilities — including a critical authentication bypass disclosed in May 2026 — raise questions about whether the pace of acquisition has outstripped the company's ability to maintain product security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Progress Software offers compelling value at 4.8x forward earnings with a PEG of 0.98, as normalized earnings power emerges following the MOVEit litigation overhang and ShareFile acquisition integration. Q1 FY2026 demonstrated 41% operating margins with $1.60 EPS, and full-year guidance of $988M-$1.01B revenue and $5.91-$6.03 EPS represents a significant step-up from the $1.66 trailing EPS [1][2]. The AI-first strategy across a diversified portfolio of infrastructure software products — from Agentic RAG-as-a-Service to AI-powered network security — positions Progress to capture mid-market AI adoption spend, while CEO Yogesh Gupta's acquisition playbook has successfully grown revenue from ~$450M to nearly $1B over five years [1][3].</w:t>
      </w:r>
    </w:p>
    <w:p>
      <w:pPr>
        <w:spacing w:after="120"/>
      </w:pPr>
      <w:r>
        <w:rPr>
          <w:rFonts w:ascii="Calibri" w:hAnsi="Calibri"/>
          <w:b w:val="0"/>
          <w:color w:val="3A4A28"/>
          <w:sz w:val="20"/>
        </w:rPr>
        <w:t>The primary risk is Progress's heavy acquisition debt at 275.8% debt-to-equity, which constrains financial flexibility and amplifies downside if integration falters or markets soften [2]. Organic growth of only ~4% in Q1 FY2026 reveals that acquired products are not generating meaningful cross-sell acceleration, and the company's reliance on serial M&amp;A to drive topline growth creates execution risk as deal targets become more expensive. The recurring MOVEit security vulnerabilities — including a new critical authentication bypass in May 2026 — represent material reputational risk for a company whose core value proposition includes secure file transfer [5]. Profit margins of 8.6% on a GAAP basis lag software peers despite strong non-GAAP operating margins, reflecting ongoing amortization and integration costs from acquisitions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4.8x and PEG of 0.98 suggest significant earnings re-rating opportunity as MOVEit litigation costs normalize and ShareFile integration matures [2]</w:t>
      </w:r>
    </w:p>
    <w:p>
      <w:pPr>
        <w:spacing w:before="40" w:after="40"/>
        <w:ind w:left="283"/>
      </w:pPr>
      <w:r>
        <w:rPr>
          <w:rFonts w:ascii="Calibri" w:hAnsi="Calibri"/>
          <w:b/>
          <w:color w:val="4A6B25"/>
          <w:sz w:val="20"/>
        </w:rPr>
        <w:t xml:space="preserve">2. </w:t>
      </w:r>
      <w:r>
        <w:rPr>
          <w:rFonts w:ascii="Calibri" w:hAnsi="Calibri"/>
          <w:b w:val="0"/>
          <w:color w:val="3A4A28"/>
          <w:sz w:val="20"/>
        </w:rPr>
        <w:t>Full-year FY2026 guidance of $988M-$1.01B revenue crossing the $1B milestone with ~39% operating margins [1]</w:t>
      </w:r>
    </w:p>
    <w:p>
      <w:pPr>
        <w:spacing w:before="40" w:after="40"/>
        <w:ind w:left="283"/>
      </w:pPr>
      <w:r>
        <w:rPr>
          <w:rFonts w:ascii="Calibri" w:hAnsi="Calibri"/>
          <w:b/>
          <w:color w:val="4A6B25"/>
          <w:sz w:val="20"/>
        </w:rPr>
        <w:t xml:space="preserve">3. </w:t>
      </w:r>
      <w:r>
        <w:rPr>
          <w:rFonts w:ascii="Calibri" w:hAnsi="Calibri"/>
          <w:b w:val="0"/>
          <w:color w:val="3A4A28"/>
          <w:sz w:val="20"/>
        </w:rPr>
        <w:t>AI-first product strategy with Agentic RAG-as-a-Service and embedded AI across the portfolio creating new upsell opportunities with existing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High leverage at 275.8% debt-to-equity from acquisition financing constrains financial flexibility and increases sensitivity to rate changes [2]</w:t>
      </w:r>
    </w:p>
    <w:p>
      <w:pPr>
        <w:spacing w:before="40" w:after="40"/>
        <w:ind w:left="283"/>
      </w:pPr>
      <w:r>
        <w:rPr>
          <w:rFonts w:ascii="Calibri" w:hAnsi="Calibri"/>
          <w:b/>
          <w:color w:val="4A6B25"/>
          <w:sz w:val="20"/>
        </w:rPr>
        <w:t xml:space="preserve">2. </w:t>
      </w:r>
      <w:r>
        <w:rPr>
          <w:rFonts w:ascii="Calibri" w:hAnsi="Calibri"/>
          <w:b w:val="0"/>
          <w:color w:val="3A4A28"/>
          <w:sz w:val="20"/>
        </w:rPr>
        <w:t>Recurring MOVEit security vulnerabilities (new critical flaw disclosed May 2026) creating reputational risk and potential customer attrition [5]</w:t>
      </w:r>
    </w:p>
    <w:p>
      <w:pPr>
        <w:spacing w:before="40" w:after="40"/>
        <w:ind w:left="283"/>
      </w:pPr>
      <w:r>
        <w:rPr>
          <w:rFonts w:ascii="Calibri" w:hAnsi="Calibri"/>
          <w:b/>
          <w:color w:val="4A6B25"/>
          <w:sz w:val="20"/>
        </w:rPr>
        <w:t xml:space="preserve">3. </w:t>
      </w:r>
      <w:r>
        <w:rPr>
          <w:rFonts w:ascii="Calibri" w:hAnsi="Calibri"/>
          <w:b w:val="0"/>
          <w:color w:val="3A4A28"/>
          <w:sz w:val="20"/>
        </w:rPr>
        <w:t>Organic revenue growth of ~4% indicates limited pricing power and cross-sell traction without further acquisitions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meaningful enabler for Progress as the company embeds AI capabilities across its infrastructure software portfolio — Agentic RAG-as-a-Service, AI-powered network security in Flowmon, and Semantic AI in Semaphore create new revenue streams from existing customers [3]. The company's 'responsibly bold' AI approach positions it to help enterprises adopt AI for document collaboration (ShareFile), file transfer security (MOVEit), and application development, addressing the AI integration needs of mid-market companies [3]. However, Progress faces the risk that hyperscaler AI platforms (Microsoft, Google) could subsume some of its niche infrastructure functions, and the company's small scale (2,801 employees) limits AI R&amp;D investment relative to larger competitors. AI Opportunity tiebreaker: 1/1 — Progress is actively monetizing AI across its product suite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Progress Software Q1 FY2026 Earnings Call and Full-Year 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PRGS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Progress Software AI thought leadership, Agentic RAG announcements, and CEO EY award,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Progress Software employee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BleepingComputer and SecurityBoulevard — MOVEit Automation critical vulnerability disclosure,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