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PRKS</w:t>
      </w:r>
      <w:r>
        <w:rPr>
          <w:rFonts w:ascii="Calibri" w:hAnsi="Calibri"/>
          <w:b/>
          <w:color w:val="1A2010"/>
          <w:sz w:val="40"/>
        </w:rPr>
        <w:t xml:space="preserve">  United Parks &amp; Resorts Inc.</w:t>
      </w:r>
    </w:p>
    <w:p>
      <w:pPr>
        <w:spacing w:after="120"/>
      </w:pPr>
      <w:r>
        <w:rPr>
          <w:rFonts w:ascii="Calibri" w:hAnsi="Calibri"/>
          <w:b/>
          <w:color w:val="6E8450"/>
          <w:sz w:val="18"/>
        </w:rPr>
        <w:t>GROWTH SLEEVE · 2026-05-03 · Inspire: 38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Leisure · NYSE · United States</w:t>
      </w:r>
    </w:p>
    <w:p>
      <w:pPr>
        <w:spacing w:after="80"/>
      </w:pPr>
      <w:r>
        <w:rPr>
          <w:rFonts w:ascii="Calibri" w:hAnsi="Calibri"/>
          <w:b w:val="0"/>
          <w:color w:val="3A4A28"/>
          <w:sz w:val="20"/>
        </w:rPr>
        <w:t>United Parks &amp; Resorts (formerly SeaWorld Entertainment) operates 12 theme parks across the United States under the SeaWorld, Busch Gardens, Aquatica, Discovery Cove, Sesame Place, Water Country USA, and Adventure Island brands. The company combines marine-life and wildlife experiences with thrill rides and family entertainment. Founded in 1959 and headquartered in Orlando, Florida.</w:t>
      </w:r>
    </w:p>
    <w:p>
      <w:r>
        <w:rPr>
          <w:rFonts w:ascii="Calibri" w:hAnsi="Calibri"/>
          <w:b/>
          <w:color w:val="6E8450"/>
          <w:sz w:val="18"/>
        </w:rPr>
        <w:t>3,300 Employees · https://www.unitedparks.com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Revenue has been flat-to-declining, contracting from $1.73B in 2022 to $1.66B in 2025. The rebrand from SeaWorld Entertainment to United Parks &amp; Resorts in February 2024 was cosmetic rather than transformative [1][3]. New Sesame Place parks and attraction refreshes are incremental extensions, not meaningful product launches. AI Deployment (0/2): No evidence of AI-powered guest experiences, AI-driven pricing optimization, or operational AI deployment [2]. Market Share (1/2): United Parks operates 12 parks with iconic brands (SeaWorld, Busch Gardens, Sesame Place) and 6.8M attendance in Q3 2025 alone, but faces intense competition from Disney, Universal's Epic Universe, and the merged Six Flags/Cedar Fair entity [1]. Pipeline (1/2): Group bookings pacing up 50% and Discovery Cove advanced booking revenue up high single digits for 2026 provide some forward visibility [1]. New attractions and events planned, but no specific next-gen experiences named with launch dates. R&amp;D Intensity (0/1): Theme park operators do not invest in R&amp;D in the traditional sense; capital expenditure of $217.5M in fiscal 2025 went to park maintenance and new rides rather than technology development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United Parks positions itself around connecting people to nature, conservation, and animal welfare [3]. The mission is clear — 'inspiring people to protect animals and the wild places of the world' — but this positioning was largely forced by the 2013 Blackfish documentary crisis rather than emerging organically from the company's founding purpose [3]. Community Impact (1/2): The SeaWorld &amp; Busch Gardens Conservation Fund has donated over $16.5M supporting 1,200+ conservation projects across all seven continents, a specific and meaningful philanthropic program aligned with the company's repositioned mission [3]. Employee Retention (0/2): Glassdoor reviews paint a concerning picture — executive team rated 'D' in the bottom 20% of similar-sized companies, with employees citing 'horrible corporate culture,' 16+ hour days expected of senior leaders, chronic understaffing at the hourly level, and underpaid salaried management [2]. Insider Buying (0/2): All insider transactions are stock grants with no open-market purchases identified, suggesting no insider conviction at current prices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United Parks generates $1.66B in annual revenue with $168M net income (10.1% margin) and $162.6M free cash flow — a profitable but declining business [1][4]. The balance sheet is deeply strained: $2.35B total debt against negative stockholders' equity of -$435.8M (driven by aggressive share buybacks), leaving D/E effectively infinite [4]. Forward P/E of 8.0x is exceptionally cheap, reflecting the market's skepticism about growth trajectory. Revenue declined -2.8% YoY with 3-year CAGR of -1.3%, and net income dropped from $291M (2022) to $168M (2025) — a 42% earnings decline over three years [1][4]. The company spent $217.5M on capex while generating only $162.6M in free cash flow, requiring debt to fund both capital investment and the buyback program. Liquidity floor cleared: 1.06M avg vol × $35.27 = $37.3M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United Parks &amp; Resorts shows a mixed-to-finite mindset. The post-Blackfish pivot to conservation positioning was meaningful but reactive rather than proactive. CEO Marc Swanson's nearly 20-year tenure provides leadership continuity, but the declining financial trajectory (revenue down, earnings down 42% over 3 years) and deeply negative employee culture ratings suggest the organization is managing for near-term survival rather than long-term endurance. The aggressive buyback program creating negative equity prioritizes financial engineering over operational excellence.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United Parks articulates a purpose around conservation and connecting people to nature, backed by the $16.5M Conservation Fund and 1,200+ supported projects [3]. However, this positioning was forced by the Blackfish crisis rather than embedded from founding. The 1959 origin story is about marine entertainment, not conservation. Sinek would recognize the evolution but note that a cause adopted under duress lacks the authenticity of one held through decades of consistency (1 pt).</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data paints a low-trust environment: executive team rated 'D' (bottom 20%), 'horrible corporate culture,' understaffing at hourly levels, underpaid management, and 16+ hour expectations for senior staff [2]. These are structural indicators of a fear-based, resource-starved organization where employees protect themselves rather than advance the mission. Sinek would view this as a fundamental failure of the Circle of Safety (0 pts).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United Parks competes against Disney, Universal (especially the 2025 Epic Universe opening), and the merged Six Flags/Cedar Fair. The company's investment in new attractions, events, and enhanced guest experiences suggests it uses competitive pressure to improve its offerings rather than simply defending market share [1]. Management's acknowledgment that the competitive landscape has intensified and their response through differentiated programming shows an improvement-oriented competitive mindset (1 pt).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pivot from SeaWorld's orca-centric entertainment model to a conservation-focused, diversified parks portfolio represents meaningful strategic adaptation [3]. The rebrand to United Parks &amp; Resorts, expansion into Sesame Place, and pivot away from live orca shows demonstrate willingness to evolve the business model. However, these changes were driven by external pressure (Blackfish, legislation) rather than proactive cause-driven reinvention (1 pt).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decision to stop breeding orcas in captivity — announced in 2016 — was costly and principled, ending a revenue-generating program that defined the SeaWorld brand for decades [3]. Capital expenditure of $217.5M during a revenue decline year shows willingness to invest for the future. However, the aggressive share buyback program creating negative equity suggests prioritizing financial engineering over long-term organizational health (1 pt).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United Parks &amp; Resorts is a profitable theme park operator generating $1.66B revenue, $168M net income, and $162.6M free cash flow from 12 iconic parks including SeaWorld, Busch Gardens, and Sesame Place [1][4]. At 8.0x forward P/E and a $1.7B market cap, the stock is deeply discounted relative to leisure peers, pricing in significant pessimism about the growth outlook. Group bookings pacing up 50% and Discovery Cove advanced revenue up high single digits signal potential improvement in 2026 [1]. The post-Blackfish transformation is maturing, with conservation positioning and brand diversification reducing the reputational overhang that depressed the stock for years. The $16.5M Conservation Fund and elimination of orca breeding have repositioned the brand for ESG-conscious consumers [3]. Management's cost control initiatives and new attraction investments could stabilize margins if attendance recovers.</w:t>
      </w:r>
    </w:p>
    <w:p>
      <w:pPr>
        <w:spacing w:after="120"/>
      </w:pPr>
      <w:r>
        <w:rPr>
          <w:rFonts w:ascii="Calibri" w:hAnsi="Calibri"/>
          <w:b w:val="0"/>
          <w:color w:val="3A4A28"/>
          <w:sz w:val="20"/>
        </w:rPr>
        <w:t>The bear case centers on structural decline and extreme leverage. Revenue and earnings have declined for three consecutive years — from $1.73B/$291M (2022) to $1.66B/$168M (2025), a 42% earnings contraction reflecting lower attendance (-3.4% in Q3 2025), negative international tourism trends, and volatile weather [1][4]. Total debt of $2.35B against negative equity (-$435.8M) creates severe balance sheet risk; the company is spending more on capex ($217.5M) than it generates in free cash flow ($162.6M) [4]. Universal's Epic Universe opening in 2025 introduces a formidable new competitor in Orlando — United Parks' home market — threatening to cannibalize attendance. The DOJ ADA lawsuit filed in March 2026 adds regulatory and reputational risk [3]. Glassdoor ratings (executive team 'D', bottom 20%) suggest internal culture problems that could impair execution of the turnaround strategy. The aggressive buyback program that created negative equity prioritizes short-term EPS management over balance sheet health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Group bookings pacing up 50% and Discovery Cove advanced revenue up high single digits for 2026, signaling potential attendance and revenue recovery [1]</w:t>
      </w:r>
    </w:p>
    <w:p>
      <w:pPr>
        <w:spacing w:before="40" w:after="40"/>
        <w:ind w:left="283"/>
      </w:pPr>
      <w:r>
        <w:rPr>
          <w:rFonts w:ascii="Calibri" w:hAnsi="Calibri"/>
          <w:b/>
          <w:color w:val="4A6B25"/>
          <w:sz w:val="20"/>
        </w:rPr>
        <w:t xml:space="preserve">2. </w:t>
      </w:r>
      <w:r>
        <w:rPr>
          <w:rFonts w:ascii="Calibri" w:hAnsi="Calibri"/>
          <w:b w:val="0"/>
          <w:color w:val="3A4A28"/>
          <w:sz w:val="20"/>
        </w:rPr>
        <w:t>New cost control initiatives and attraction launches designed to improve per-capita spending and margin trajectory in fiscal 2026 [1]</w:t>
      </w:r>
    </w:p>
    <w:p>
      <w:pPr>
        <w:spacing w:before="40" w:after="40"/>
        <w:ind w:left="283"/>
      </w:pPr>
      <w:r>
        <w:rPr>
          <w:rFonts w:ascii="Calibri" w:hAnsi="Calibri"/>
          <w:b/>
          <w:color w:val="4A6B25"/>
          <w:sz w:val="20"/>
        </w:rPr>
        <w:t xml:space="preserve">3. </w:t>
      </w:r>
      <w:r>
        <w:rPr>
          <w:rFonts w:ascii="Calibri" w:hAnsi="Calibri"/>
          <w:b w:val="0"/>
          <w:color w:val="3A4A28"/>
          <w:sz w:val="20"/>
        </w:rPr>
        <w:t>Deeply discounted valuation at 8.0x forward P/E — any stabilization of attendance trends could drive significant multiple expansion from depressed levels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Universal's Epic Universe opening in Orlando creates a formidable new competitor in United Parks' home market, threatening to cannibalize attendance at SeaWorld Orlando and Aquatica [1]</w:t>
      </w:r>
    </w:p>
    <w:p>
      <w:pPr>
        <w:spacing w:before="40" w:after="40"/>
        <w:ind w:left="283"/>
      </w:pPr>
      <w:r>
        <w:rPr>
          <w:rFonts w:ascii="Calibri" w:hAnsi="Calibri"/>
          <w:b/>
          <w:color w:val="4A6B25"/>
          <w:sz w:val="20"/>
        </w:rPr>
        <w:t xml:space="preserve">2. </w:t>
      </w:r>
      <w:r>
        <w:rPr>
          <w:rFonts w:ascii="Calibri" w:hAnsi="Calibri"/>
          <w:b w:val="0"/>
          <w:color w:val="3A4A28"/>
          <w:sz w:val="20"/>
        </w:rPr>
        <w:t>Extreme leverage — $2.35B debt against negative equity (-$435.8M) with capex exceeding free cash flow ($217.5M vs. $162.6M), limiting financial flexibility [4]</w:t>
      </w:r>
    </w:p>
    <w:p>
      <w:pPr>
        <w:spacing w:before="40" w:after="40"/>
        <w:ind w:left="283"/>
      </w:pPr>
      <w:r>
        <w:rPr>
          <w:rFonts w:ascii="Calibri" w:hAnsi="Calibri"/>
          <w:b/>
          <w:color w:val="4A6B25"/>
          <w:sz w:val="20"/>
        </w:rPr>
        <w:t xml:space="preserve">3. </w:t>
      </w:r>
      <w:r>
        <w:rPr>
          <w:rFonts w:ascii="Calibri" w:hAnsi="Calibri"/>
          <w:b w:val="0"/>
          <w:color w:val="3A4A28"/>
          <w:sz w:val="20"/>
        </w:rPr>
        <w:t>DOJ ADA lawsuit filed March 2026 and persistent internal culture problems (Glassdoor executive team rated 'D') create combined legal, operational, and reputational risk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Theme park operations are structurally immune to AI disruption — physical roller coasters, aquatic shows, live animal encounters, and in-park dining cannot be replaced by digital AI products [1]. The core value proposition is an irreplaceable physical experience that requires location-based infrastructure, trained animal care staff, and real-world entertainment that no AI can substitute. AI may modestly enhance operations (dynamic pricing, guest flow optimization, staffing algorithms) but poses zero substitution risk to the business model. The experiential entertainment sector benefits from consumers' increasing desire for real-world experiences as a counterpoint to digital saturation [3]. AI Opportunity (0/1): No quantifiable AI-derived revenue or AI-powered products. The company has not disclosed AI-related initiatives or partnerships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United Parks &amp; Resorts Investor Relations — Q3 2025 results ($511.9M revenue, -6.2% YoY, 6.8M attendance), fiscal 2025 annual results, and 2026 booking trends</w:t>
      </w:r>
    </w:p>
    <w:p>
      <w:pPr>
        <w:spacing w:before="20" w:after="20"/>
        <w:ind w:left="170"/>
      </w:pPr>
      <w:r>
        <w:rPr>
          <w:rFonts w:ascii="Calibri" w:hAnsi="Calibri"/>
          <w:b/>
          <w:color w:val="4A6B25"/>
          <w:sz w:val="15"/>
        </w:rPr>
        <w:t xml:space="preserve">2. </w:t>
      </w:r>
      <w:r>
        <w:rPr>
          <w:rFonts w:ascii="Calibri" w:hAnsi="Calibri"/>
          <w:b w:val="0"/>
          <w:color w:val="3A4A28"/>
          <w:sz w:val="17"/>
        </w:rPr>
        <w:t>Glassdoor, Comparably — United Parks &amp; Resorts / SeaWorld employee reviews, executive team 'D' rating, and workplace culture concerns</w:t>
      </w:r>
    </w:p>
    <w:p>
      <w:pPr>
        <w:spacing w:before="20" w:after="20"/>
        <w:ind w:left="170"/>
      </w:pPr>
      <w:r>
        <w:rPr>
          <w:rFonts w:ascii="Calibri" w:hAnsi="Calibri"/>
          <w:b/>
          <w:color w:val="4A6B25"/>
          <w:sz w:val="15"/>
        </w:rPr>
        <w:t xml:space="preserve">3. </w:t>
      </w:r>
      <w:r>
        <w:rPr>
          <w:rFonts w:ascii="Calibri" w:hAnsi="Calibri"/>
          <w:b w:val="0"/>
          <w:color w:val="3A4A28"/>
          <w:sz w:val="17"/>
        </w:rPr>
        <w:t>United Parks Corporate Website, Wikipedia, Britannica — Conservation Fund ($16.5M, 1,200+ projects), Blackfish history, orca breeding cessation, and DOJ ADA lawsuit</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 PRKS key statistics, balance sheet, financials, and insider transactions, accessed May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