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PRU</w:t>
      </w:r>
      <w:r>
        <w:rPr>
          <w:rFonts w:ascii="Calibri" w:hAnsi="Calibri"/>
          <w:b/>
          <w:color w:val="1A2010"/>
          <w:sz w:val="40"/>
        </w:rPr>
        <w:t xml:space="preserve">  Prudential Financial, Inc.</w:t>
      </w:r>
    </w:p>
    <w:p>
      <w:pPr>
        <w:spacing w:after="120"/>
      </w:pPr>
      <w:r>
        <w:rPr>
          <w:rFonts w:ascii="Calibri" w:hAnsi="Calibri"/>
          <w:b/>
          <w:color w:val="6E8450"/>
          <w:sz w:val="18"/>
        </w:rPr>
        <w:t>DIVIDEND SLEEVE · 2026-04-15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Prudential Financial is a global financial services leader with approximately $1.8 trillion in assets under management and administration, offering life insurance, annuities, retirement-related services, and investment management through PGIM. The company serves customers in the U.S., Japan, emerging markets, and institutional channels.</w:t>
      </w:r>
    </w:p>
    <w:p>
      <w:r>
        <w:rPr>
          <w:rFonts w:ascii="Calibri" w:hAnsi="Calibri"/>
          <w:b/>
          <w:color w:val="6E8450"/>
          <w:sz w:val="18"/>
        </w:rPr>
        <w:t>40,000 Employees · https://www.prudential.com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Full-year 2025 pre-tax adjusted operating income rose 12% YoY and AOI per share grew 14% to $14.43, with AUM/AUA growing 7% to $1.8T — meaningful but within the insurance-incumbent range [1]. The December 2025 leadership realignment pulled US, Emerging Markets, Japan, and PGIM heads closer to the CEO to drive execution rigor [2]. AI Deployment (1/2): Prudential deploys AI in underwriting, claims, and customer service modernization, and CEO Sullivan has articulated a 'high-performance culture' framing that implies greater tech leverage; no quantified AI revenue or savings disclosures yet [2]. Market Share (1/2): Top-5 US life insurer, dominant in the Japan market, and a top-10 global institutional asset manager via PGIM — meaningful share but not the outright leader in any single category [1]. Pipeline (1/2): Sullivan's three priorities (capital allocation, execution discipline, high-performance culture) and the 'most profitable growth opportunities' language signal a sharper pipeline focus, but no breakthrough product launches [2]. R&amp;D Intensity (0/1): Insurance firms don't run meaningful R&amp;D lines; tech spend is within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Rock of Gibraltar brand and 150-year heritage of 'helping solve the financial challenges of our changing world' is specific and thoughtful, reinforced by board-level Sustainability Committee effective January 2026 [3]. Community Impact (2/2): Prudential Foundation has been a major Newark, NJ community investor for decades, with substantial corporate giving, employee volunteer programs, and community development initiatives making this among the more distinctive philanthropic footprints in insurance [3]. Employee Retention (0/2): No specific retention data surfaced, and recent leadership realignment plus elevated sector attrition temper the retention signal [2]. Insider Buying (1/2): Consistent dividend raises (Q4 2025 increase announced) and ongoing buybacks signal capital discipline, but direct open-market executive buying is modest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Prudential offers a deep-value dividend profile. Forward P/E of 6.49x is exceptionally cheap (well below 20x target), current P/E of 9.89x, and profit margin of 5.8% (normal for life insurers given premium-driven revenue recognition) [4]. ROE of 11.4% is below the 15% target but in line with insurance peers; revenue growth of 31.2% YoY reflects a combination of investment income and pension risk transfer (PRT) flows and significantly exceeds the 10% target [4]. D/E of 124.5% is elevated but typical for life insurers who fund long-duration liabilities with debt; it sits between the 70% target and 300% floor. 2025 AOI grew 14% to $14.43/share and AUM/AUA reached $1.8T, up 7% [1]. Dividend yield of ~5.4% at $98.76 with 17 consecutive years of growth, Q4 2025 dividend raise, and 5yr dividend CAGR near 6% meaningfully clears the 6% target. Payout ratio around 40% is at the ideal threshold [4]. Liquidity easily cleared: 2.41M avg vol x $98.76 = $238M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Prudential has played the infinite game for 150 years, holding to a mission around helping people navigate financial challenges across market cycles. New CEO Andrew Sullivan's emphasis on 'high-performance culture' and capital-allocation discipline is pragmatic; the just cause is intact but the rhetoric leans toward execution over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Prudential's 150-year-old mission of financial security across life, retirement, and legacy has been validated through the Great Depression, two world wars, the 2008 financial crisis, and the 2020 pandemic [3]. The brand (Rock of Gibraltar) and Newark community roots reinforce the cause, though day-to-day rhetoric has shifted toward 'profitable growth' and 'high-performance culture' under Sullivan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Prudential has a 150-year institutional culture with long-tenured senior leaders (Sullivan joined 2011, took CEO 2025), and the December 2025 realignment reflects incremental focus rather than cultural upheaval [2]. No specific turnover or culture data surfaced beyond standard insurance-industry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openly references MetLife, AIG, Manulife, and Japan market rivals (Nippon Life, Dai-ichi) as competitive reference points, and PGIM cites BlackRock and PIMCO as peers [1]. The December realignment was explicitly framed as sharpening competitive execution rather than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Prudential has evolved meaningfully — selling the full-service retirement business to Empower in 2022, expanding PGIM into alternatives, and acquiring/divesting international units — to stay relevant as rates, regulation, and distribution evolved [1]. The transformations are incremental rather than a Fujifilm-style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Sullivan's capital-allocation discipline framing (steering capital to most profitable opportunities) implies willingness to walk away from marginal businesses, consistent with the 2022 sale of the recordkeeping business to Empower [1][2]. Continuing dividend raises (17 consecutive years) through rate cycles shows capital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Prudential is a 150-year-old global insurer and asset manager delivering accelerating results under new CEO Andrew Sullivan. Full-year 2025 pre-tax adjusted operating income grew 12% YoY, AOI per share grew 14% to $14.43, and AUM/AUA reached $1.8T (+7% YoY) [1]. Q4 2025 revenue of $14.52B beat estimates, though adjusted EPS of $3.30 was slightly below expectations [1]. Stock trades at a striking 6.49x forward earnings with a 5.4% dividend yield and 17 consecutive years of dividend growth — the Q4 2025 dividend raise signals continued capital return confidence [4]. Sullivan's December 2025 leadership realignment pulled direct reports from US, Emerging Markets, Japan, and PGIM closer to the CEO, accelerating execution of the three-priority agenda: profitable-growth capital allocation, execution discipline, and high-performance culture [2].</w:t>
      </w:r>
    </w:p>
    <w:p>
      <w:pPr>
        <w:spacing w:after="120"/>
      </w:pPr>
      <w:r>
        <w:rPr>
          <w:rFonts w:ascii="Calibri" w:hAnsi="Calibri"/>
          <w:b w:val="0"/>
          <w:color w:val="3A4A28"/>
          <w:sz w:val="20"/>
        </w:rPr>
        <w:t>The bear case centers on Japan exposure, interest-rate sensitivity, and PGIM fee pressure. Q4 earnings miss was driven by Japan operations challenges, where aging demographics and persistent low rates compress spread income [1]. Life insurance and annuity ROE of 11.4% is below the 15% target, and 5.8% profit margin reflects the capital-intensive nature of life insurance balance sheets. D/E of 124.5% is typical for life insurers but carries credit-cycle risk; any material rise in corporate credit losses would compress the investment portfolio's yield and reserves. PGIM's $1.4T+ AUM base faces the same passive/AI-driven fee compression as other active managers. The 6.49x forward P/E already reflects most bear concerns, but persistent Japan headwinds and fee pressure cap near-term multiple expansion. HOLD: cheap valuation and 5.4% yield for income-oriented portfolios, but limited catalyst for breakout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Andrew Sullivan's high-performance culture and leadership realignment accelerating margin expansion and capital redeployment throughout 2026 [2]</w:t>
      </w:r>
    </w:p>
    <w:p>
      <w:pPr>
        <w:spacing w:before="40" w:after="40"/>
        <w:ind w:left="283"/>
      </w:pPr>
      <w:r>
        <w:rPr>
          <w:rFonts w:ascii="Calibri" w:hAnsi="Calibri"/>
          <w:b/>
          <w:color w:val="4A6B25"/>
          <w:sz w:val="20"/>
        </w:rPr>
        <w:t xml:space="preserve">2. </w:t>
      </w:r>
      <w:r>
        <w:rPr>
          <w:rFonts w:ascii="Calibri" w:hAnsi="Calibri"/>
          <w:b w:val="0"/>
          <w:color w:val="3A4A28"/>
          <w:sz w:val="20"/>
        </w:rPr>
        <w:t>PGIM private credit and alternatives platform scaling meaningfully as institutional allocators shift to private markets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streak (17 consecutive years, Q4 2025 raise) supported by $14.43 AOI per share and 40% payout ratio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Japan operations challenges — aging demographics and persistent low rates compressing spread income and driving Q4 2025 EPS miss [1]</w:t>
      </w:r>
    </w:p>
    <w:p>
      <w:pPr>
        <w:spacing w:before="40" w:after="40"/>
        <w:ind w:left="283"/>
      </w:pPr>
      <w:r>
        <w:rPr>
          <w:rFonts w:ascii="Calibri" w:hAnsi="Calibri"/>
          <w:b/>
          <w:color w:val="4A6B25"/>
          <w:sz w:val="20"/>
        </w:rPr>
        <w:t xml:space="preserve">2. </w:t>
      </w:r>
      <w:r>
        <w:rPr>
          <w:rFonts w:ascii="Calibri" w:hAnsi="Calibri"/>
          <w:b w:val="0"/>
          <w:color w:val="3A4A28"/>
          <w:sz w:val="20"/>
        </w:rPr>
        <w:t>Corporate credit-cycle risk given the $1.8T asset base with significant long-duration credit and alternative holdings funding long-tail insurance liabilities [1]</w:t>
      </w:r>
    </w:p>
    <w:p>
      <w:pPr>
        <w:spacing w:before="40" w:after="40"/>
        <w:ind w:left="283"/>
      </w:pPr>
      <w:r>
        <w:rPr>
          <w:rFonts w:ascii="Calibri" w:hAnsi="Calibri"/>
          <w:b/>
          <w:color w:val="4A6B25"/>
          <w:sz w:val="20"/>
        </w:rPr>
        <w:t xml:space="preserve">3. </w:t>
      </w:r>
      <w:r>
        <w:rPr>
          <w:rFonts w:ascii="Calibri" w:hAnsi="Calibri"/>
          <w:b w:val="0"/>
          <w:color w:val="3A4A28"/>
          <w:sz w:val="20"/>
        </w:rPr>
        <w:t>PGIM fee compression from the ongoing passive/ETF shift and AI-driven portfolio tools pressuring the active asset management revenue pool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Life insurance and annuities are highly regulated products sold through advisor-led distribution — AI is not structurally positioned to replace multi-decade annuity contracts or the fiduciary/advisor relationships that sell them, providing meaningful defensive moat [2]. PGIM's institutional asset management business faces the same AI-driven fee compression pressure as other active managers, but the fixed income and alternatives mix is more defensible than equity mutual funds. AI is more likely to help insurers (underwriting automation, claims processing, fraud detection) than threaten core product economics. AI Opportunity (0/1): No specific AI-driven revenue contribution disclosed; AI initiatives appear to be efficiency rather than revenue plays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Prudential Financial Q4 2025 and Full Year 2025 Earnings Release, February 2026; January/March 2026 AUM and business updates</w:t>
      </w:r>
    </w:p>
    <w:p>
      <w:pPr>
        <w:spacing w:before="20" w:after="20"/>
        <w:ind w:left="170"/>
      </w:pPr>
      <w:r>
        <w:rPr>
          <w:rFonts w:ascii="Calibri" w:hAnsi="Calibri"/>
          <w:b/>
          <w:color w:val="4A6B25"/>
          <w:sz w:val="15"/>
        </w:rPr>
        <w:t xml:space="preserve">2. </w:t>
      </w:r>
      <w:r>
        <w:rPr>
          <w:rFonts w:ascii="Calibri" w:hAnsi="Calibri"/>
          <w:b w:val="0"/>
          <w:color w:val="3A4A28"/>
          <w:sz w:val="17"/>
        </w:rPr>
        <w:t>Andrew Sullivan CEO transition, December 2025 Leadership Alignment press release, March 2026 Chairman appointment</w:t>
      </w:r>
    </w:p>
    <w:p>
      <w:pPr>
        <w:spacing w:before="20" w:after="20"/>
        <w:ind w:left="170"/>
      </w:pPr>
      <w:r>
        <w:rPr>
          <w:rFonts w:ascii="Calibri" w:hAnsi="Calibri"/>
          <w:b/>
          <w:color w:val="4A6B25"/>
          <w:sz w:val="15"/>
        </w:rPr>
        <w:t xml:space="preserve">3. </w:t>
      </w:r>
      <w:r>
        <w:rPr>
          <w:rFonts w:ascii="Calibri" w:hAnsi="Calibri"/>
          <w:b w:val="0"/>
          <w:color w:val="3A4A28"/>
          <w:sz w:val="17"/>
        </w:rPr>
        <w:t>Prudential Financial Sustainability Report and Prudential plc Board-Level Sustainability Committee effective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PRU (Prudential Financial),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