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w:t>
      </w:r>
      <w:r>
        <w:rPr>
          <w:rFonts w:ascii="Calibri" w:hAnsi="Calibri"/>
          <w:b/>
          <w:color w:val="1A2010"/>
          <w:sz w:val="40"/>
        </w:rPr>
        <w:t xml:space="preserve">  Permian Resources Corp.</w:t>
      </w:r>
    </w:p>
    <w:p>
      <w:pPr>
        <w:spacing w:after="120"/>
      </w:pPr>
      <w:r>
        <w:rPr>
          <w:rFonts w:ascii="Calibri" w:hAnsi="Calibri"/>
          <w:b/>
          <w:color w:val="6E8450"/>
          <w:sz w:val="18"/>
        </w:rPr>
        <w:t>DIVIDEND SLEEVE · 2026-03-24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Permian Resources Corp. is an independent oil and natural gas company and the second-largest pure-play Permian Basin E&amp;P, operating approximately 480,000 net leasehold acres in the Delaware Basin. Created from the 2022 merger of Centennial Resource Development and Colgate Energy, the company achieved record production of 401,500 BOE/d in Q4 2025 and generated $1.6B in adjusted free cash flow in 2025.</w:t>
      </w:r>
    </w:p>
    <w:p>
      <w:r>
        <w:rPr>
          <w:rFonts w:ascii="Calibri" w:hAnsi="Calibri"/>
          <w:b/>
          <w:color w:val="6E8450"/>
          <w:sz w:val="18"/>
        </w:rPr>
        <w:t>1,000 Employees · https://www.permianres.com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Permian Resources has demonstrated genuine operational innovation — setting records for fastest well drilled, most feet drilled per day, and lowest completions cost per foot in Q2 2025, reducing D&amp;C costs to $700/ft (an 11% YoY reduction)[1]. This earns 2 points on Innovation Track Record for operational transformation that reduced capital intensity. AI and automation deployment in Permian Basin operations is advancing industry-wide, and Permian Resources' efficiency gains (6% quarterly controllable cost reduction) reflect technology adoption — earning 1 point for deployment. Market share: second-largest pure-play Permian E&amp;P with 480,000 net acres — earning 2 points for dominant category positioning. No specific next-gen technology pipeline — scoring 0. R&amp;D intensity is below industry average for a pure E&amp;P — scoring 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Permian Resources' stated mission of 'delivering leading shareholder returns through responsible acquisition and development of oil and natural gas resources to meet the world's need for affordable, abundant energy' is specific and operationally grounded — scoring 3 on mission floor (thoughtful and connected to energy security). The company has a unique culture shaped by the Co-CEO structure of Will Hickey and James Walter, both with long Delaware Basin experience — scoring 1 for distinctive leadership culture. No major charitable programs identified beyond industry-standard community investment — scoring 0. The co-CEO structure with significant personal ownership alignment and $115M+ in share repurchases signal leadership conviction — scoring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 reported FY2025 revenue of $5.07B (+1.3% YoY), adjusted free cash flow of $1.6B (+20% YoY), and FCF per share of $1.94[1]. D/E ratio of 0.37 is well below the 70% target — excellent balance sheet for an E&amp;P. Leverage ended FY2025 at 0.9x. 2026 guidance: 186-192 MBbls/d oil production, capex $1.75-1.95B, controllable cash costs $7.15-8.15/BOE. Dividend yield 3.42% (Q1 2026 base dividend $0.16/share, +7% increase), paid since 2022 with a 40%+ CAGR. P/E of 16.62. Liquidity: stock price ~$18.69 × avg daily volume ~10M =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Permian Resources was created through a merger of equals in 2022 with a clear vision of being the Permian Basin's most efficient pure-play developer. The Co-CEO structure, consistent low-cost leadership strategy, and growing dividend program reflect long-term thinking. The company's explicit mission of meeting the world's energy needs responsibly gives it a cause that transcends quarterly production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of meeting the world's need for affordable, abundant energy through responsible Permian development is a specific and meaningful cause in the context of energy security and economic development. The 'responsible' qualifier reflects genuine awareness of the environmental and social dimensions of oil and gas production. Scores 2 points: genuine cause that shapes strategic decisions.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Co-CEO structure of Will Hickey and James Walter, both with deep Permian Basin experience and roots in Colgate Energy, reflects genuine collaborative leadership. The unique culture around Midland-based operations, technical excellence, and cost discipline has been consistently expressed through record operational milestones. Scores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Permian Resources explicitly benchmarks against Pioneer (now acquired by Exxon), Diamondback, and Devon, framing cost leadership as the measure of excellence. The record drill times and completions costs are set against peer performance standards.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merger of Centennial and Colgate to create Permian Resources represents a meaningful strategic combination — combining complementary Delaware Basin acreage positions to create a more efficient operator. The $1.1B in 2025 acquisitions adding 250 locations demonstrates ongoing portfolio optimization. Scores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Increasing the base dividend 7% in Q1 2026 despite oil price uncertainty demonstrates commitment to returning capital to shareholders with conviction. The investment-grade credit achievement reflects disciplined financial management that preserves options during commodity cycles.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Permian Resources combines the best attributes of a best-in-class oil producer: 0.9x leverage, investment-grade credit, 480,000 net Delaware Basin acres, $1.6B in FY2025 adjusted free cash flow, record Q4 2025 oil production of 188,600 BOE/d, and a 3.42% growing dividend with a 40%+ CAGR since 2022 inception[1]. With the analyst consensus target of $20.92 (15 analysts, Strong Buy consensus) implying ~12% upside from current prices and the company's proven cost leadership in the lowest-cost U.S. oil basin, PR offers a high-quality energy income and growth combination. The 2026 plan with $1.75-1.95B capex and 186-192 MBbl/d oil guidance targets further FCF growth.</w:t>
      </w:r>
    </w:p>
    <w:p>
      <w:pPr>
        <w:spacing w:after="120"/>
      </w:pPr>
      <w:r>
        <w:rPr>
          <w:rFonts w:ascii="Calibri" w:hAnsi="Calibri"/>
          <w:b w:val="0"/>
          <w:color w:val="3A4A28"/>
          <w:sz w:val="20"/>
        </w:rPr>
        <w:t>The bear case centers on oil price risk: at $60/barrel or below, Permian Resources' free cash flow profile would deteriorate significantly, potentially stressing the dividend growth program and acquisitions strategy[1]. The 2026 capex of $1.75-1.95B exceeds the 2025 level and requires sustained $70+ WTI to generate meaningful free cash flow. Permian Basin competition for acreage and services has increased as Exxon, Chevron, and ConocoPhillips scale their Permian operations, potentially increasing D&amp;C costs. Environmental regulatory pressure on methane emissions and flaring in New Mexico could increase operating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WTI oil price recovery to $80+/barrel driven by OPEC+ production discipline and strong U.S. economic activity, generating FCF per share well above the $1.94 achieved in 2025 and supporting accelerated dividend growth</w:t>
      </w:r>
    </w:p>
    <w:p>
      <w:pPr>
        <w:spacing w:before="40" w:after="40"/>
        <w:ind w:left="283"/>
      </w:pPr>
      <w:r>
        <w:rPr>
          <w:rFonts w:ascii="Calibri" w:hAnsi="Calibri"/>
          <w:b/>
          <w:color w:val="4A6B25"/>
          <w:sz w:val="20"/>
        </w:rPr>
        <w:t xml:space="preserve">2. </w:t>
      </w:r>
      <w:r>
        <w:rPr>
          <w:rFonts w:ascii="Calibri" w:hAnsi="Calibri"/>
          <w:b w:val="0"/>
          <w:color w:val="3A4A28"/>
          <w:sz w:val="20"/>
        </w:rPr>
        <w:t>Q3 2026 production guidance achievement demonstrating that the 2025 acquisitions (250 new locations) are performing as modeled, building confidence in the 400-430 MBoe/d guidance</w:t>
      </w:r>
    </w:p>
    <w:p>
      <w:pPr>
        <w:spacing w:before="40" w:after="40"/>
        <w:ind w:left="283"/>
      </w:pPr>
      <w:r>
        <w:rPr>
          <w:rFonts w:ascii="Calibri" w:hAnsi="Calibri"/>
          <w:b/>
          <w:color w:val="4A6B25"/>
          <w:sz w:val="20"/>
        </w:rPr>
        <w:t xml:space="preserve">3. </w:t>
      </w:r>
      <w:r>
        <w:rPr>
          <w:rFonts w:ascii="Calibri" w:hAnsi="Calibri"/>
          <w:b w:val="0"/>
          <w:color w:val="3A4A28"/>
          <w:sz w:val="20"/>
        </w:rPr>
        <w:t>Potential Permian Basin consolidation opportunity — the pending Exxon/Chevron dominance creates mid-tier E&amp;P acquisition opportunities where Permian Resources' strong balance sheet (0.9x leverage) provides significant deal-making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WTI oil price decline below $60/barrel driven by OPEC+ production increase, weak Chinese demand, or U.S. economic slowdown, reducing FCF below the level required to sustain current capital return and dividend growth commitments</w:t>
      </w:r>
    </w:p>
    <w:p>
      <w:pPr>
        <w:spacing w:before="40" w:after="40"/>
        <w:ind w:left="283"/>
      </w:pPr>
      <w:r>
        <w:rPr>
          <w:rFonts w:ascii="Calibri" w:hAnsi="Calibri"/>
          <w:b/>
          <w:color w:val="4A6B25"/>
          <w:sz w:val="20"/>
        </w:rPr>
        <w:t xml:space="preserve">2. </w:t>
      </w:r>
      <w:r>
        <w:rPr>
          <w:rFonts w:ascii="Calibri" w:hAnsi="Calibri"/>
          <w:b w:val="0"/>
          <w:color w:val="3A4A28"/>
          <w:sz w:val="20"/>
        </w:rPr>
        <w:t>New Mexico regulatory tightening on emissions, water disposal, or setback distances that increases compliance costs or forces curtailment of Delaware Basin operations which represent the majority of production</w:t>
      </w:r>
    </w:p>
    <w:p>
      <w:pPr>
        <w:spacing w:before="40" w:after="40"/>
        <w:ind w:left="283"/>
      </w:pPr>
      <w:r>
        <w:rPr>
          <w:rFonts w:ascii="Calibri" w:hAnsi="Calibri"/>
          <w:b/>
          <w:color w:val="4A6B25"/>
          <w:sz w:val="20"/>
        </w:rPr>
        <w:t xml:space="preserve">3. </w:t>
      </w:r>
      <w:r>
        <w:rPr>
          <w:rFonts w:ascii="Calibri" w:hAnsi="Calibri"/>
          <w:b w:val="0"/>
          <w:color w:val="3A4A28"/>
          <w:sz w:val="20"/>
        </w:rPr>
        <w:t>D&amp;C cost inflation from oilfield services tightening as Permian Basin activity ramps — after reaching $700/ft record lows in 2025, any reversal toward $800-900/ft would compress capital efficiency and reduce the well count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Permian Resources drills and produces oil and natural gas — physical resource extraction that AI cannot replace[1]. The Delaware Basin geological assets, surface rights, and wellbore inventory represent physical capital with inherent scarcity. AI is an enabler for the company: drilling optimization, predictive maintenance, and AI-driven completion design contribute to the record well performance and D&amp;C cost reductions. Field automation has been adopted broadly in the Permian Basin, reducing labor costs and improving safety. AI demand for data center power is a direct tailwind for Permian Resources' oil and gas production. Scores 8 on AI Risk Protection and 0 on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Permian Resources, 'Q4 2025 Results and 2026 Plan', permianres.com, February 2026</w:t>
      </w:r>
    </w:p>
    <w:p>
      <w:pPr>
        <w:spacing w:before="20" w:after="20"/>
        <w:ind w:left="170"/>
      </w:pPr>
      <w:r>
        <w:rPr>
          <w:rFonts w:ascii="Calibri" w:hAnsi="Calibri"/>
          <w:b/>
          <w:color w:val="4A6B25"/>
          <w:sz w:val="15"/>
        </w:rPr>
        <w:t xml:space="preserve">2. </w:t>
      </w:r>
      <w:r>
        <w:rPr>
          <w:rFonts w:ascii="Calibri" w:hAnsi="Calibri"/>
          <w:b w:val="0"/>
          <w:color w:val="3A4A28"/>
          <w:sz w:val="17"/>
        </w:rPr>
        <w:t>BusinessWire, 'Permian Resources Announces Strong Fourth Quarter 2025 Results', February 2026</w:t>
      </w:r>
    </w:p>
    <w:p>
      <w:pPr>
        <w:spacing w:before="20" w:after="20"/>
        <w:ind w:left="170"/>
      </w:pPr>
      <w:r>
        <w:rPr>
          <w:rFonts w:ascii="Calibri" w:hAnsi="Calibri"/>
          <w:b/>
          <w:color w:val="4A6B25"/>
          <w:sz w:val="15"/>
        </w:rPr>
        <w:t xml:space="preserve">3. </w:t>
      </w:r>
      <w:r>
        <w:rPr>
          <w:rFonts w:ascii="Calibri" w:hAnsi="Calibri"/>
          <w:b w:val="0"/>
          <w:color w:val="3A4A28"/>
          <w:sz w:val="17"/>
        </w:rPr>
        <w:t>GuruFocus, 'Permian Resources (PR) Reports Record Q4 2025 Performance and Dividend Increase',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'Permian Resources Dividend History',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