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PSEC</w:t>
      </w:r>
      <w:r>
        <w:rPr>
          <w:rFonts w:ascii="Calibri" w:hAnsi="Calibri"/>
          <w:b/>
          <w:color w:val="1A2010"/>
          <w:sz w:val="40"/>
        </w:rPr>
        <w:t xml:space="preserve">  Prospect Capital Corporation</w:t>
      </w:r>
    </w:p>
    <w:p>
      <w:pPr>
        <w:spacing w:after="120"/>
      </w:pPr>
      <w:r>
        <w:rPr>
          <w:rFonts w:ascii="Calibri" w:hAnsi="Calibri"/>
          <w:b/>
          <w:color w:val="6E8450"/>
          <w:sz w:val="18"/>
        </w:rPr>
        <w:t>DIVIDEND SLEEVE · 2026-04-01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Prospect Capital Corporation is a business development company specializing in middle market lending, mezzanine finance, leveraged buyouts, and real estate investments. The fund makes secured and unsecured debt and equity investments in private and microcap public businesses across diverse industries, with a portfolio of 92 companies and $6.5 billion in aggregate fair value.</w:t>
      </w:r>
    </w:p>
    <w:p>
      <w:r>
        <w:rPr>
          <w:rFonts w:ascii="Calibri" w:hAnsi="Calibri"/>
          <w:b/>
          <w:color w:val="6E8450"/>
          <w:sz w:val="18"/>
        </w:rPr>
        <w:t>https://www.prospectstreet.com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PSEC has not launched new products or business model innovations in the last 5 years; the company continues the same BDC lending model it has operated for two decades, with a 65% stock price decline over the past 10 years reflecting stagnation [1]. AI Deployment (0/2): No evidence of AI-powered products, tools, or measurable AI-driven efficiency gains in underwriting, portfolio management, or operations [2]. Market Share (1/2): PSEC remains a meaningful player in the BDC space with $6.5 billion in portfolio fair value across 92 companies and 32 industries, but it is not a category leader — it trades at a 59% discount to NAV, the steepest among major BDCs [1][3]. Pipeline (0/2): No next-generation products or strategic initiatives announced with specific timelines; the company is merely shifting portfolio composition toward first-lien loans (now 71.4% of portfolio) [1]. R&amp;D Intensity (1/1): BDC sector does not typically invest in R&amp;D, but PSEC's underwriting team and deal sourcing infrastructure are above average for the peer group in terms of staffing.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Prospect Capital's stated mission focuses on delivering consistent returns and preserving capital through transparent, collaborative culture — a generic financial services statement interchangeable with any BDC peer [2]. Community Impact (0/2): No evidence of distinctive charitable giving, community investment programs, or foundation activity beyond standard corporate operations [3]. Employee Retention (1/2): Glassdoor rating of 3.5/5 with 76% recommending the company and 78% positive business outlook is adequate, though multiple reviews cite micromanagement and difficult top-down culture as negatives [2]. Insider Buying (1/2): CEO John Barry holds 27.5% insider ownership, representing significant alignment with shareholders, though insider transactions data shows no meaningful recent net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PSEC's financial profile is weak for a dividend payer. Net income is negative (-$356M TTM) with -34.9% profit margin and -4.85% ROE, reflecting net realized and unrealized portfolio losses [1]. The D/E ratio of 40.3% is conservative for a BDC, and forward P/E of 6.2x is attractive on a price basis [4]. However, the payout ratio exceeds 211%, meaning the dividend is being paid from capital rather than earnings — a structural red flag confirmed by 5 consecutive years of NAV erosion from $8.18 to $6.21 per share [3]. Revenue of $671M declined 5.1% YoY. The stock has paid dividends for 20+ years but with multiple cuts, and the 5-year dividend growth CAGR is deeply negative. Liquidity floor passes: 4.4M avg vol x $2.61 = $11.5M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Prospect Capital exhibits classic finite game behavior — optimizing for current dividend yield to attract retail investors while eroding book value and shareholder equity over time. The 65% decade-long price decline, repeated dividend cuts, and persistent NAV erosion suggest a company managing for quarterly distributions rather than long-term value creation.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PSEC's purpose is generic capital deployment with no articulated vision beyond generating yield for investors. The company's website and communications focus on portfolio statistics and dividend payments rather than any broader mission or societal contribution [2][3]. There is no evidence of a cause that would inspire sacrifice or long-term commitment.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culture of micromanagement, finger-pointing, and top-down control. Multiple reviews cite 'toxic culture from top down,' 'difficult environment with finger pointing and blaming,' and 'outdated structure' [2]. The CEO has led since inception with an autocratic style that creates low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PSEC acknowledging competitors' strengths or using competitive pressure for self-improvement. The company's communications focus on its own portfolio metrics without reference to peer BDCs like Ares Capital, Blue Owl, or Main Street Capital — companies that have significantly outperformed PSEC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PSEC has shown some incremental adaptation by shifting its portfolio toward first-lien senior secured loans (now 71.4% of portfolio) and expanding into multi-family real estate, representing meaningful but not transformative strategic evolution over its 20+ year history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John Barry's 27.5% insider ownership demonstrates personal conviction, and the company has maintained its BDC structure through multiple market cycles. However, the persistent pattern of paying dividends from capital (211% payout ratio) rather than cutting to sustainable levels suggests prioritizing short-term investor appeasement over long-term health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Prospect Capital offers a 20.7% forward dividend yield and trades at a steep 59% discount to NAV ($6.21/share vs. $2.61 stock price), which could represent deep value if portfolio credit quality stabilizes [1]. Q2 fiscal 2026 net investment income of $91M ($0.19/share) beat estimates by 90%, and the strategic shift toward 71.4% first-lien senior secured loans reduces credit risk [1]. The $6.5B diversified portfolio across 92 companies and 32 industries provides broad exposure to middle-market lending, and the low D/E ratio of 40.3% leaves balance sheet capacity for opportunistic deployment.</w:t>
      </w:r>
    </w:p>
    <w:p>
      <w:pPr>
        <w:spacing w:after="120"/>
      </w:pPr>
      <w:r>
        <w:rPr>
          <w:rFonts w:ascii="Calibri" w:hAnsi="Calibri"/>
          <w:b w:val="0"/>
          <w:color w:val="3A4A28"/>
          <w:sz w:val="20"/>
        </w:rPr>
        <w:t>The bear case is compelling: PSEC's NAV has eroded from $8.18 to $6.21 per share over five years, the stock has declined 65% over the past decade, and the 211% payout ratio means the dividend is structurally unsustainable [3]. Net income is negative (-$356M TTM) driven by unrealized portfolio losses, and revenue declined 5.1% YoY to $671M [1]. High PIK (payment-in-kind) income inflates reported investment income without generating cash. The company's high management fee structure and persistent dilution have destroyed shareholder value — the market's 59% NAV discount reflects justified skepticism about asset quality and governance [3]. Dividend cut risk is elevated given the payout exceeds earnings by more than 2x.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Portfolio quality improvement as 71.4% first-lien allocation reduces credit losses and stabilizes NAV per share [1]</w:t>
      </w:r>
    </w:p>
    <w:p>
      <w:pPr>
        <w:spacing w:before="40" w:after="40"/>
        <w:ind w:left="283"/>
      </w:pPr>
      <w:r>
        <w:rPr>
          <w:rFonts w:ascii="Calibri" w:hAnsi="Calibri"/>
          <w:b/>
          <w:color w:val="4A6B25"/>
          <w:sz w:val="20"/>
        </w:rPr>
        <w:t xml:space="preserve">2. </w:t>
      </w:r>
      <w:r>
        <w:rPr>
          <w:rFonts w:ascii="Calibri" w:hAnsi="Calibri"/>
          <w:b w:val="0"/>
          <w:color w:val="3A4A28"/>
          <w:sz w:val="20"/>
        </w:rPr>
        <w:t>Interest rate normalization could widen net interest margins on the floating-rate loan portfolio, boosting net investment income [1]</w:t>
      </w:r>
    </w:p>
    <w:p>
      <w:pPr>
        <w:spacing w:before="40" w:after="40"/>
        <w:ind w:left="283"/>
      </w:pPr>
      <w:r>
        <w:rPr>
          <w:rFonts w:ascii="Calibri" w:hAnsi="Calibri"/>
          <w:b/>
          <w:color w:val="4A6B25"/>
          <w:sz w:val="20"/>
        </w:rPr>
        <w:t xml:space="preserve">3. </w:t>
      </w:r>
      <w:r>
        <w:rPr>
          <w:rFonts w:ascii="Calibri" w:hAnsi="Calibri"/>
          <w:b w:val="0"/>
          <w:color w:val="3A4A28"/>
          <w:sz w:val="20"/>
        </w:rPr>
        <w:t>Potential NAV discount narrowing if dividend sustainability improves and investor sentiment shifts toward BDC sector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cut is increasingly likely given 211% payout ratio and persistent NAV erosion — a cut would trigger significant retail investor selling [1][3]</w:t>
      </w:r>
    </w:p>
    <w:p>
      <w:pPr>
        <w:spacing w:before="40" w:after="40"/>
        <w:ind w:left="283"/>
      </w:pPr>
      <w:r>
        <w:rPr>
          <w:rFonts w:ascii="Calibri" w:hAnsi="Calibri"/>
          <w:b/>
          <w:color w:val="4A6B25"/>
          <w:sz w:val="20"/>
        </w:rPr>
        <w:t xml:space="preserve">2. </w:t>
      </w:r>
      <w:r>
        <w:rPr>
          <w:rFonts w:ascii="Calibri" w:hAnsi="Calibri"/>
          <w:b w:val="0"/>
          <w:color w:val="3A4A28"/>
          <w:sz w:val="20"/>
        </w:rPr>
        <w:t>Credit cycle deterioration could accelerate portfolio losses in middle-market loans, further eroding the $6.21 NAV per share [1]</w:t>
      </w:r>
    </w:p>
    <w:p>
      <w:pPr>
        <w:spacing w:before="40" w:after="40"/>
        <w:ind w:left="283"/>
      </w:pPr>
      <w:r>
        <w:rPr>
          <w:rFonts w:ascii="Calibri" w:hAnsi="Calibri"/>
          <w:b/>
          <w:color w:val="4A6B25"/>
          <w:sz w:val="20"/>
        </w:rPr>
        <w:t xml:space="preserve">3. </w:t>
      </w:r>
      <w:r>
        <w:rPr>
          <w:rFonts w:ascii="Calibri" w:hAnsi="Calibri"/>
          <w:b w:val="0"/>
          <w:color w:val="3A4A28"/>
          <w:sz w:val="20"/>
        </w:rPr>
        <w:t>High management fees and PIK income concentration create misaligned incentives between management and shareholders, sustaining the structural NAV discount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PSEC's core business — originating and managing middle-market private credit — involves complex relationship-driven deal sourcing, legal documentation, and bespoke underwriting that AI cannot easily replicate [2]. The BDC model relies on human judgment for credit decisions, borrower relationships, and workout situations that require nuanced assessment. While AI tools may improve efficiency in screening and portfolio monitoring, they do not threaten the fundamental business model. Analysts have not flagged AI as a displacement risk for BDCs. AI Opportunity (0/1): No evidence of AI-driven revenue generation or AI products offered to portfolio companies or investors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Prospect Capital Q2 Fiscal 2026 Earnings Report — $176M revenue, $91M NII, $0.19 EPS,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Prospect Capital employee ratings 3.5/5, culture and leadership insights,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'Prospect Capital: A Red Flag Investment,' NAV erosion and dividend sustainability analysis,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PSEC, retrieved April 1,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 Prospect Capital ESG Risk Rating: Weak management of material ESG risk,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