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PSN</w:t>
      </w:r>
      <w:r>
        <w:rPr>
          <w:rFonts w:ascii="Calibri" w:hAnsi="Calibri"/>
          <w:b/>
          <w:color w:val="1A2010"/>
          <w:sz w:val="40"/>
        </w:rPr>
        <w:t xml:space="preserve">  Parsons Corporation</w:t>
      </w:r>
    </w:p>
    <w:p>
      <w:pPr>
        <w:spacing w:after="120"/>
      </w:pPr>
      <w:r>
        <w:rPr>
          <w:rFonts w:ascii="Calibri" w:hAnsi="Calibri"/>
          <w:b/>
          <w:color w:val="6E8450"/>
          <w:sz w:val="18"/>
        </w:rPr>
        <w:t>GROWTH SLEEVE · 2026-04-30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United States</w:t>
      </w:r>
    </w:p>
    <w:p>
      <w:pPr>
        <w:spacing w:after="80"/>
      </w:pPr>
      <w:r>
        <w:rPr>
          <w:rFonts w:ascii="Calibri" w:hAnsi="Calibri"/>
          <w:b w:val="0"/>
          <w:color w:val="3A4A28"/>
          <w:sz w:val="20"/>
        </w:rPr>
        <w:t>Parsons Corporation provides technology-driven defense, intelligence, and critical infrastructure solutions to U.S. federal government and commercial customers worldwide. The company operates through Federal Solutions and Critical Infrastructure segments, delivering capabilities in cyber, air and missile defense, intelligence, electronic warfare, space, and transportation infrastructure.</w:t>
      </w:r>
    </w:p>
    <w:p>
      <w:r>
        <w:rPr>
          <w:rFonts w:ascii="Calibri" w:hAnsi="Calibri"/>
          <w:b/>
          <w:color w:val="6E8450"/>
          <w:sz w:val="18"/>
        </w:rPr>
        <w:t>19,500 Employees · https://www.parsons.com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Parsons has executed multiple strategic acquisitions to build its technology portfolio — including the $375M Altamira Technologies acquisition closed Q1 2026, which strengthened its AI/ML and analytics capabilities for the intelligence community [1]. The company has successfully pivoted from a legacy engineering firm toward a technology-first defense and infrastructure company. AI Deployment (2/2): Parsons has deployed AI across federal solutions including edge AI defense systems (BrainChip partnership for Akida neuromorphic processors), support for the U.S. Army's Project Linchpin autonomous systems program, and AI-powered combat advantage platforms [2]. These are revenue-generating AI products shipping to government customers. Market Share (1/2): Parsons holds meaningful positions in cyber, missile defense, and critical infrastructure, with record backlog of $9.3B and funded backlog of $6.6B, but faces larger competitors (Lockheed, Raytheon, Leidos) in each vertical [1]. Pipeline (1/2): Backlog growth to $9.3B provides strong revenue visibility, and the Altamira acquisition expands the AI/intelligence pipeline, but specific next-gen product launch timelines are not publicly disclosed given classified nature of work [1]. R&amp;D Intensity (1/1): Heavy investment in AI, cyber, and edge computing capabilities differentiates Parsons from traditional engineering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Parsons' vision 'to create the future of national security and global infrastructure to deliver a better world' is specific, thoughtful, and clearly shapes strategic decisions — the company has restructured its entire business around this purpose [3]. Core values of Safety, Quality, and Integrity guide project execution. Community Impact (2/2): Parsons' CARE (Cultivating a Responsible Enterprise) ESG strategy includes a Net-Zero emissions commitment aligned with SBTi science-based targets, and the company contributes to community infrastructure projects that directly benefit public safety and transportation [3]. Employee Retention (1/2): CEO Carey Smith has driven strong cultural results — Parsons ranked #27 on Glassdoor's Best-Led Companies for 2025, the highest among national security and critical infrastructure peers, with reviews citing 'inviting, learning-led, and balanced' leadership [2]. LinkedIn Learning licenses company-wide and cohort-based leadership development programs. Insider Buying (1/2): Recent Form 4 filings show director equity awards (2,947 RSUs each to Long, McMahon, McDew) maintaining insider alignment, but no open-market purchases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Parsons' financial profile shows a split between strong valuation and weak profitability. Forward P/E of 13.6x is attractive for a defense/technology company with $9.3B record backlog [1]. D/E of 49.8% is healthy and well below the 70% target. Revenue grew at a 13.2% 5yr CAGR, reflecting strong secular positioning in defense and infrastructure. However, Q1 2026 revenue declined 4% YoY (8% organic) due to a confidential contract rolling off — excluding that contract, revenue grew 8% with 3% organic growth [1]. Profit margin of 3.8% is thin even for a government services firm, though EBITDA margin expanded to a record 10.1%. Forward PEG of 3.85 far exceeds the 1.0 target, indicating expensive growth-adjusted valuation. ROE of 11.7% is below the 15% target. Liquidity floor cleared: 1.3M avg volume x $50.30 = $65.9M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Parsons has transformed from a legacy engineering firm into a technology-first defense and infrastructure company under CEO Carey Smith's leadership, demonstrating existential flexibility and a commitment to its 'better world' vision. The #27 ranking on Glassdoor's Best-Led Companies validates its people-first culture, though the company's competitive positioning remains focused on winning contracts rather than self-improvement.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Parsons' vision 'to create the future of national security and global infrastructure to deliver a better world' is genuine and partially lived — the company has restructured its business segments, acquired AI capabilities (Altamira, BrainChip partnership), and committed to Net-Zero emissions in service of this vision [3]. However, it has not yet been tested through a major crisis requiring sacrifice of short-term profits. Just Cause: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Parsons ranked #27 on Glassdoor's Best-Led Companies for 2025, the top-ranked national security firm, with employee reviews describing leadership as 'inviting, learning-led, and balanced' [2]. LinkedIn Learning licenses company-wide, cohort-based leadership development, and annual employee surveys with resulting policy changes (flex work, leave time, benefits) show adequate trust. However, the age/race discrimination lawsuit alleging systemic bias creates concern about gaps between stated values and practice [5]. Trusting Teams: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Parsons acknowledges that larger competitors (Lockheed Martin, Raytheon, Leidos) have scale advantages in prime contracting, and uses this competitive pressure to differentiate through technology agility and AI capabilities rather than attempting to match their size [2]. The BrainChip partnership and Altamira acquisition reflect learning from rivals' strengths. Worthy Rivals: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Parsons has evolved significantly from a traditional engineering and construction firm into a technology-driven defense and infrastructure company, pivoting toward AI, cyber, and edge computing capabilities. The Altamira acquisition ($375M) and AI partnerships demonstrate willingness to invest in transformation, though the pivot was incremental rather than a dramatic break from the legacy business [1][2]. Existential Flexibility: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Carey Smith has made strategic investments in AI and cyber capabilities during a period of federal budget uncertainty, including the $375M Altamira acquisition and Net-Zero emissions commitments [1][3]. However, the $2.5M donation to the Trump administration's White House renovation concurrent with seeking $1T+ in government contracts raises questions about whether leadership decisions are principled or transactional [5]. Courage to Lead: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Parsons is a technology-first defense and infrastructure company with record $9.3B backlog, positioning it to capture growing federal spending on AI, cyber, and missile defense modernization [1]. Q1 2026 adjusted EBITDA hit a record $151M with margin expanding to 10.1%, demonstrating the company's transition to higher-margin technology work. The $375M Altamira acquisition deepens AI/ML capabilities for the intelligence community, and the BrainChip partnership brings edge AI to deployed defense systems [2]. Full-year 2026 guidance of $6.5-$6.8B revenue and $615-$675M adjusted EBITDA implies meaningful growth excluding the rolling-off confidential contract — mid-point guidance shows 10.5% total growth and 6% organic growth ex-confidential. At 13.6x forward P/E, Parsons trades at a discount to defense peers despite stronger technology positioning. Glassdoor's #27 Best-Led Company ranking validates the culture that attracts cleared technical talent [2].</w:t>
      </w:r>
    </w:p>
    <w:p>
      <w:pPr>
        <w:spacing w:after="120"/>
      </w:pPr>
      <w:r>
        <w:rPr>
          <w:rFonts w:ascii="Calibri" w:hAnsi="Calibri"/>
          <w:b w:val="0"/>
          <w:color w:val="3A4A28"/>
          <w:sz w:val="20"/>
        </w:rPr>
        <w:t>The bear case centers on profitability and growth sustainability. Profit margin of 3.8% is thin even for government services — thin margins leave little room for error on large fixed-price contracts. Forward PEG of 3.85 suggests the stock is expensive relative to its earnings growth trajectory, with only 5.1% EPS growth in Q1 2026 despite the record EBITDA. Q1 revenue declined 4% YoY (8% organic) due to a confidential contract rolling off, and organic growth of only 3% excluding that contract raises questions about underlying demand strength [1]. ROE of 11.7% is below peer averages, reflecting the capital-intensive nature of government services. The age/race discrimination lawsuit highlights potential gaps between Parsons' stated CARE values and workplace practices [5]. Federal budget uncertainty and potential sequestration could compress the defense spending tailwind that underpins Parsons' growth thesis. The $375M Altamira acquisition adds integration risk and dilutes near-term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$9.3B total backlog and $6.6B funded backlog providing multi-year revenue visibility, with mid-point 2026 guidance implying 10.5% growth ex-confidential contract [1]</w:t>
      </w:r>
    </w:p>
    <w:p>
      <w:pPr>
        <w:spacing w:before="40" w:after="40"/>
        <w:ind w:left="283"/>
      </w:pPr>
      <w:r>
        <w:rPr>
          <w:rFonts w:ascii="Calibri" w:hAnsi="Calibri"/>
          <w:b/>
          <w:color w:val="4A6B25"/>
          <w:sz w:val="20"/>
        </w:rPr>
        <w:t xml:space="preserve">2. </w:t>
      </w:r>
      <w:r>
        <w:rPr>
          <w:rFonts w:ascii="Calibri" w:hAnsi="Calibri"/>
          <w:b w:val="0"/>
          <w:color w:val="3A4A28"/>
          <w:sz w:val="20"/>
        </w:rPr>
        <w:t>AI defense spending acceleration — U.S. Army Project Linchpin, JADC2, and edge AI deployments (BrainChip partnership) create expanding addressable market for Parsons' AI capabilities [2]</w:t>
      </w:r>
    </w:p>
    <w:p>
      <w:pPr>
        <w:spacing w:before="40" w:after="40"/>
        <w:ind w:left="283"/>
      </w:pPr>
      <w:r>
        <w:rPr>
          <w:rFonts w:ascii="Calibri" w:hAnsi="Calibri"/>
          <w:b/>
          <w:color w:val="4A6B25"/>
          <w:sz w:val="20"/>
        </w:rPr>
        <w:t xml:space="preserve">3. </w:t>
      </w:r>
      <w:r>
        <w:rPr>
          <w:rFonts w:ascii="Calibri" w:hAnsi="Calibri"/>
          <w:b w:val="0"/>
          <w:color w:val="3A4A28"/>
          <w:sz w:val="20"/>
        </w:rPr>
        <w:t>EBITDA margin expansion to record 10.1% in Q1 2026, reflecting the shift toward higher-margin technology work and away from legacy cost-plus engineering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Thin profit margins of 3.8% leave minimal cushion for fixed-price contract overruns, and ROE of 11.7% lags defense peer averages [6]</w:t>
      </w:r>
    </w:p>
    <w:p>
      <w:pPr>
        <w:spacing w:before="40" w:after="40"/>
        <w:ind w:left="283"/>
      </w:pPr>
      <w:r>
        <w:rPr>
          <w:rFonts w:ascii="Calibri" w:hAnsi="Calibri"/>
          <w:b/>
          <w:color w:val="4A6B25"/>
          <w:sz w:val="20"/>
        </w:rPr>
        <w:t xml:space="preserve">2. </w:t>
      </w:r>
      <w:r>
        <w:rPr>
          <w:rFonts w:ascii="Calibri" w:hAnsi="Calibri"/>
          <w:b w:val="0"/>
          <w:color w:val="3A4A28"/>
          <w:sz w:val="20"/>
        </w:rPr>
        <w:t>Federal budget uncertainty and potential sequestration could compress defense spending growth, directly impacting Parsons' Federal Solutions segment (58% of revenue) [1]</w:t>
      </w:r>
    </w:p>
    <w:p>
      <w:pPr>
        <w:spacing w:before="40" w:after="40"/>
        <w:ind w:left="283"/>
      </w:pPr>
      <w:r>
        <w:rPr>
          <w:rFonts w:ascii="Calibri" w:hAnsi="Calibri"/>
          <w:b/>
          <w:color w:val="4A6B25"/>
          <w:sz w:val="20"/>
        </w:rPr>
        <w:t xml:space="preserve">3. </w:t>
      </w:r>
      <w:r>
        <w:rPr>
          <w:rFonts w:ascii="Calibri" w:hAnsi="Calibri"/>
          <w:b w:val="0"/>
          <w:color w:val="3A4A28"/>
          <w:sz w:val="20"/>
        </w:rPr>
        <w:t>Revenue dependence on classified programs creates visibility risk — the confidential contract roll-off caused a -7.5% revenue decline that masked underlying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Parsons operates in heavily regulated, classified defense and critical infrastructure environments where AI cannot substitute for human judgment, security clearances, physical engineering, or government-mandated processes [2]. The company's work in missile defense, cyber operations, electronic warfare, and infrastructure construction requires deep domain expertise, facility clearances, and physical-world execution that AI structurally cannot displace. AI actually increases demand for Parsons' services — the Department of Defense's AI modernization programs (Project Linchpin, JADC2) create new contract opportunities. AI Opportunity (1/1): Parsons generates meaningful AI revenue through deployed products including edge AI defense platforms (BrainChip Akida partnership), AI-powered intelligence analysis for the U.S. Army's Project Linchpin, and AI-enhanced cyber capabilities across both segments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Parsons Corporation Q1 2026 Earnings Release — $1.5B revenue, record $151M adjusted EBITDA, $9.3B backlog, April 29, 2026</w:t>
      </w:r>
    </w:p>
    <w:p>
      <w:pPr>
        <w:spacing w:before="20" w:after="20"/>
        <w:ind w:left="170"/>
      </w:pPr>
      <w:r>
        <w:rPr>
          <w:rFonts w:ascii="Calibri" w:hAnsi="Calibri"/>
          <w:b/>
          <w:color w:val="4A6B25"/>
          <w:sz w:val="15"/>
        </w:rPr>
        <w:t xml:space="preserve">2. </w:t>
      </w:r>
      <w:r>
        <w:rPr>
          <w:rFonts w:ascii="Calibri" w:hAnsi="Calibri"/>
          <w:b w:val="0"/>
          <w:color w:val="3A4A28"/>
          <w:sz w:val="17"/>
        </w:rPr>
        <w:t>Parsons AI capabilities — BrainChip Akida partnership, U.S. Army Project Linchpin, Glassdoor #27 Best-Led Company 2025</w:t>
      </w:r>
    </w:p>
    <w:p>
      <w:pPr>
        <w:spacing w:before="20" w:after="20"/>
        <w:ind w:left="170"/>
      </w:pPr>
      <w:r>
        <w:rPr>
          <w:rFonts w:ascii="Calibri" w:hAnsi="Calibri"/>
          <w:b/>
          <w:color w:val="4A6B25"/>
          <w:sz w:val="15"/>
        </w:rPr>
        <w:t xml:space="preserve">3. </w:t>
      </w:r>
      <w:r>
        <w:rPr>
          <w:rFonts w:ascii="Calibri" w:hAnsi="Calibri"/>
          <w:b w:val="0"/>
          <w:color w:val="3A4A28"/>
          <w:sz w:val="17"/>
        </w:rPr>
        <w:t>Parsons CARE ESG Strategy — Net-Zero commitment, Safety/Quality/Integrity values, 'Deliver a Better World' vision</w:t>
      </w:r>
    </w:p>
    <w:p>
      <w:pPr>
        <w:spacing w:before="20" w:after="20"/>
        <w:ind w:left="170"/>
      </w:pPr>
      <w:r>
        <w:rPr>
          <w:rFonts w:ascii="Calibri" w:hAnsi="Calibri"/>
          <w:b/>
          <w:color w:val="4A6B25"/>
          <w:sz w:val="15"/>
        </w:rPr>
        <w:t xml:space="preserve">4. </w:t>
      </w:r>
      <w:r>
        <w:rPr>
          <w:rFonts w:ascii="Calibri" w:hAnsi="Calibri"/>
          <w:b w:val="0"/>
          <w:color w:val="3A4A28"/>
          <w:sz w:val="17"/>
        </w:rPr>
        <w:t>Nasdaq — PSN insider activity, director RSU grants, Form 4 filings, April 2026</w:t>
      </w:r>
    </w:p>
    <w:p>
      <w:pPr>
        <w:spacing w:before="20" w:after="20"/>
        <w:ind w:left="170"/>
      </w:pPr>
      <w:r>
        <w:rPr>
          <w:rFonts w:ascii="Calibri" w:hAnsi="Calibri"/>
          <w:b/>
          <w:color w:val="4A6B25"/>
          <w:sz w:val="15"/>
        </w:rPr>
        <w:t xml:space="preserve">5. </w:t>
      </w:r>
      <w:r>
        <w:rPr>
          <w:rFonts w:ascii="Calibri" w:hAnsi="Calibri"/>
          <w:b w:val="0"/>
          <w:color w:val="3A4A28"/>
          <w:sz w:val="17"/>
        </w:rPr>
        <w:t>Alabama Political Reporter — Parsons age/race discrimination lawsuit; NYT — $2.5M White House renovation donation</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PSN (Parsons Corporation), retrieved April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