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PSX</w:t>
      </w:r>
      <w:r>
        <w:rPr>
          <w:rFonts w:ascii="Calibri" w:hAnsi="Calibri"/>
          <w:b/>
          <w:color w:val="1A2010"/>
          <w:sz w:val="40"/>
        </w:rPr>
        <w:t xml:space="preserve">  Phillips 66</w:t>
      </w:r>
    </w:p>
    <w:p>
      <w:pPr>
        <w:spacing w:after="120"/>
      </w:pPr>
      <w:r>
        <w:rPr>
          <w:rFonts w:ascii="Calibri" w:hAnsi="Calibri"/>
          <w:b/>
          <w:color w:val="6E8450"/>
          <w:sz w:val="18"/>
        </w:rPr>
        <w:t>DIVIDEND SLEEVE · 2026-04-11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Phillips 66 is an integrated downstream energy company operating through Midstream, Chemicals, Refining, Marketing &amp; Specialties, and Renewable Fuels segments. Founded in 1875 and spun off from ConocoPhillips in 2012, the company refines crude oil, processes natural gas and NGLs, manufactures petrochemicals, and markets fuels under the Phillips 66, Conoco, and 76 brands.</w:t>
      </w:r>
    </w:p>
    <w:p>
      <w:r>
        <w:rPr>
          <w:rFonts w:ascii="Calibri" w:hAnsi="Calibri"/>
          <w:b/>
          <w:color w:val="6E8450"/>
          <w:sz w:val="18"/>
        </w:rPr>
        <w:t>12,600 Employees · https://www.phillips66.com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Phillips 66 launched its Rodeo Renewed renewable fuels facility in 2024, converting a legacy refinery to process renewable feedstocks — a meaningful but incremental business extension within the energy transition space [1]. AI Deployment (1/2): The company has deployed AI across midstream operations through a partnership with Shoreline AI and AWS, reporting over $100M in enterprise-level AI value and 4x faster learning asset development saving nearly $1M [2]. Market Share Leadership (1/2): Phillips 66 is a meaningful player in downstream refining and midstream but operates in a highly competitive commodity space without dominant market share in any single category [1]. Product Pipeline (1/2): The $1.3B growth capital budget for 2026 includes midstream NGL infrastructure and gas plant additions, providing moderate growth visibility [3]. R&amp;D Intensity (1/1): Above-average capital investment in process technology and renewable fuels for the refining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Phillips 66's stated purpose — 'Providing Energy, Improving Lives' — is generic and interchangeable with virtually any energy company; it does not articulate a distinctive vision or deeper purpose beyond the obvious [4]. Community &amp; Charitable Impact (1/2): The company maintains community investment programs and safety initiatives, with CEO Lashier calling 2025 the 'best year ever for safety performance,' but no specific foundation programs or dollar amounts for community investment were identified [5]. Employee Retention (1/2): Glassdoor rating of 3.5/5 with 1,273 reviews is average for the industry; employees cite good culture but limited upward mobility, and management is criticized for lacking empathy toward lower-level employees [6]. Insider Buying (1/2): CEO Mark Lashier made no insider transactions over the past 18 months — neutral rather than demonstrating conviction. Other executives (Mitchell, Pruitt, Roberts) were net sellers, though amounts were modest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dividend stock with strong financial fundamentals partially offset by declining revenue and thin margins. D/E of 71.4% is near the 70% target. ROE of 15.4% meets the 15% target. Forward P/E of 10.7x is well below the 20x target. Dividend metrics are excellent: 14 consecutive years paid, 13 consecutive years of growth, payout ratio of 44%, and 5yr dividend growth CAGR of 7.0% exceeding the 6% target. Weaknesses include declining annual revenue (-7.5% YoY, -8.0% 3yr CAGR) and a thin 3.3% profit margin typical of refining. Weighted sum 9.51/12 = 8/10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Phillips 66 exhibits characteristics of a well-run but fundamentally finite-minded energy company. Its shareholder returns framework — centered on dividends, buybacks, and debt reduction — is financially disciplined but lacks a compelling vision beyond quarterly optimization. The Rodeo Renewed project shows some willingness to adapt, but the company's competitive language and strategic focus remain oriented toward near-term financial performance rather than a transformative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Phillips 66's purpose statement 'Providing Energy, Improving Lives' is shallow and interchangeable with any energy company. CEO Lashier's strategic vision centers on cost reduction, shareholder returns, and operational efficiency — legitimate business goals but not a Just Cause in Sinek's framework. The company exists to process and deliver energy profitably, not to advance a vision of a better future [4][5].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3.5/5 rating across 1,273 reviews suggests an adequate but unremarkable workplace. CEO Lashier's emphasis on safety as 'foundational' and the company's best-ever 2025 safety record indicate operational trust. However, employee reviews flag management's lack of empathy toward lower-level employees and limited career mobility, suggesting a traditional hierarchical culture rather than a high-trust environment [5][6].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Phillips 66's competitive language is framed in terms of outperforming peers on cost efficiency, shareholder returns, and operational metrics — a finite game of winning against competitors rather than learning from them. No management commentary was found acknowledging competitors' strengths as motivation for self-improvement [1][5].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Rodeo Renewed conversion of a legacy California refinery to a renewable fuels facility represents incremental strategic adaptation, not transformative flexibility. Phillips 66's $3B energy transition investment shows willingness to evolve but the core business model remains unchanged — the company is adapting around the edges rather than fundamentally reinventing itself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Rodeo Renewed investment and $1.3B growth capital budget for 2026 demonstrate willingness to invest in future capabilities. However, the strategic framework remains tightly focused on near-term financial returns — cost targets through 2027, buybacks, and debt reduction. No evidence of leadership sacrificing profitable but misaligned business lines or making costly long-term bets that prioritize future capability over current earnings [1][3][5].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Phillips 66 offers a compelling income and value proposition for dividend-focused investors, with a 3.2% yield growing at 7% annually over 5 years, 13 consecutive years of dividend growth, and a modest 44% payout ratio backed by strong free cash flow. The stock trades at an attractive 10.7x forward earnings with analysts projecting $13.49 EPS for FY2026 (up 109% from FY2025), supported by a disciplined $2.4B capital budget and cost reduction initiatives targeting continued operational improvement through 2027 [1][3].</w:t>
      </w:r>
    </w:p>
    <w:p>
      <w:pPr>
        <w:spacing w:after="120"/>
      </w:pPr>
      <w:r>
        <w:rPr>
          <w:rFonts w:ascii="Calibri" w:hAnsi="Calibri"/>
          <w:b w:val="0"/>
          <w:color w:val="3A4A28"/>
          <w:sz w:val="20"/>
        </w:rPr>
        <w:t>The bear case centers on secular headwinds: revenue has declined from $170B (2022) to $132B (2025) reflecting normalizing refining margins post-pandemic, and the 3yr revenue CAGR of -8% signals structural shrinkage rather than cyclical weakness. Profit margins of 3.3% leave minimal buffer against crack spread compression or regulatory costs. The energy transition creates long-term uncertainty — while Rodeo Renewed shows adaptation, $3B in transition capital carries execution risk and the core fossil fuel business faces increasing regulatory and social pressure [1][3]. Thin margins and commodity price exposure make earnings volatile, as evidenced by the -$0.90 Q1 2025 loss followed by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Midstream NGL infrastructure expansion and gas plant additions providing higher-margin throughput growth less exposed to volatile crack spreads</w:t>
      </w:r>
    </w:p>
    <w:p>
      <w:pPr>
        <w:spacing w:before="40" w:after="40"/>
        <w:ind w:left="283"/>
      </w:pPr>
      <w:r>
        <w:rPr>
          <w:rFonts w:ascii="Calibri" w:hAnsi="Calibri"/>
          <w:b/>
          <w:color w:val="4A6B25"/>
          <w:sz w:val="20"/>
        </w:rPr>
        <w:t xml:space="preserve">2. </w:t>
      </w:r>
      <w:r>
        <w:rPr>
          <w:rFonts w:ascii="Calibri" w:hAnsi="Calibri"/>
          <w:b w:val="0"/>
          <w:color w:val="3A4A28"/>
          <w:sz w:val="20"/>
        </w:rPr>
        <w:t>Cost reduction and operational efficiency program targeting continued savings through 2027, directly flowing to EPS in a structurally lower-revenue environment</w:t>
      </w:r>
    </w:p>
    <w:p>
      <w:pPr>
        <w:spacing w:before="40" w:after="40"/>
        <w:ind w:left="283"/>
      </w:pPr>
      <w:r>
        <w:rPr>
          <w:rFonts w:ascii="Calibri" w:hAnsi="Calibri"/>
          <w:b/>
          <w:color w:val="4A6B25"/>
          <w:sz w:val="20"/>
        </w:rPr>
        <w:t xml:space="preserve">3. </w:t>
      </w:r>
      <w:r>
        <w:rPr>
          <w:rFonts w:ascii="Calibri" w:hAnsi="Calibri"/>
          <w:b w:val="0"/>
          <w:color w:val="3A4A28"/>
          <w:sz w:val="20"/>
        </w:rPr>
        <w:t>Growing AI data center energy demand creating incremental fuel and electricity consumption that benefits downstream energy providers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crack spread compression as global refining capacity additions outpace demand growth, further pressuring the already thin 3.3% profit margin</w:t>
      </w:r>
    </w:p>
    <w:p>
      <w:pPr>
        <w:spacing w:before="40" w:after="40"/>
        <w:ind w:left="283"/>
      </w:pPr>
      <w:r>
        <w:rPr>
          <w:rFonts w:ascii="Calibri" w:hAnsi="Calibri"/>
          <w:b/>
          <w:color w:val="4A6B25"/>
          <w:sz w:val="20"/>
        </w:rPr>
        <w:t xml:space="preserve">2. </w:t>
      </w:r>
      <w:r>
        <w:rPr>
          <w:rFonts w:ascii="Calibri" w:hAnsi="Calibri"/>
          <w:b w:val="0"/>
          <w:color w:val="3A4A28"/>
          <w:sz w:val="20"/>
        </w:rPr>
        <w:t>Energy transition regulatory tightening — carbon taxes, emissions standards, or renewable fuel mandates — that increase compliance costs or strand refining assets</w:t>
      </w:r>
    </w:p>
    <w:p>
      <w:pPr>
        <w:spacing w:before="40" w:after="40"/>
        <w:ind w:left="283"/>
      </w:pPr>
      <w:r>
        <w:rPr>
          <w:rFonts w:ascii="Calibri" w:hAnsi="Calibri"/>
          <w:b/>
          <w:color w:val="4A6B25"/>
          <w:sz w:val="20"/>
        </w:rPr>
        <w:t xml:space="preserve">3. </w:t>
      </w:r>
      <w:r>
        <w:rPr>
          <w:rFonts w:ascii="Calibri" w:hAnsi="Calibri"/>
          <w:b w:val="0"/>
          <w:color w:val="3A4A28"/>
          <w:sz w:val="20"/>
        </w:rPr>
        <w:t>Commodity price volatility causing EPS swings that undermine the dividend growth narrative, as demonstrated by the Q1 2025 quarterly loss of -$0.90 per 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Phillips 66's core operations — refining crude oil, transporting and processing NGLs, operating pipelines and terminals — are fundamentally physical-world businesses that AI cannot substitute. Refining requires massive capital infrastructure, decades of regulatory permitting, and complex chemical engineering that is structurally immune to AI displacement. Growing AI data center demand is a net positive for energy providers, increasing electricity and fuel consumption [1]. AI Opportunity (1/1): Phillips 66 generates meaningful operational value from AI, reporting over $100M in enterprise-level AI value through partnerships with Shoreline AI and AWS, applied to midstream operations optimization and predictive maintenance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Phillips 66 Q4 2025 Earnings Release — Strong 4Q Operating Results While Enhancing Portfolio, February 2026</w:t>
      </w:r>
    </w:p>
    <w:p>
      <w:pPr>
        <w:spacing w:before="20" w:after="20"/>
        <w:ind w:left="170"/>
      </w:pPr>
      <w:r>
        <w:rPr>
          <w:rFonts w:ascii="Calibri" w:hAnsi="Calibri"/>
          <w:b/>
          <w:color w:val="4A6B25"/>
          <w:sz w:val="15"/>
        </w:rPr>
        <w:t xml:space="preserve">2. </w:t>
      </w:r>
      <w:r>
        <w:rPr>
          <w:rFonts w:ascii="Calibri" w:hAnsi="Calibri"/>
          <w:b w:val="0"/>
          <w:color w:val="3A4A28"/>
          <w:sz w:val="17"/>
        </w:rPr>
        <w:t>EnkiAI — Phillips 66 AI Strategy 2025: Unlocking ROI &amp; ESG Value; Shoreline AI Partnership</w:t>
      </w:r>
    </w:p>
    <w:p>
      <w:pPr>
        <w:spacing w:before="20" w:after="20"/>
        <w:ind w:left="170"/>
      </w:pPr>
      <w:r>
        <w:rPr>
          <w:rFonts w:ascii="Calibri" w:hAnsi="Calibri"/>
          <w:b/>
          <w:color w:val="4A6B25"/>
          <w:sz w:val="15"/>
        </w:rPr>
        <w:t xml:space="preserve">3. </w:t>
      </w:r>
      <w:r>
        <w:rPr>
          <w:rFonts w:ascii="Calibri" w:hAnsi="Calibri"/>
          <w:b w:val="0"/>
          <w:color w:val="3A4A28"/>
          <w:sz w:val="17"/>
        </w:rPr>
        <w:t>Phillips 66 2026 Capital Budget Announcement — $2.4B Total, $1.3B Growth Capital</w:t>
      </w:r>
    </w:p>
    <w:p>
      <w:pPr>
        <w:spacing w:before="20" w:after="20"/>
        <w:ind w:left="170"/>
      </w:pPr>
      <w:r>
        <w:rPr>
          <w:rFonts w:ascii="Calibri" w:hAnsi="Calibri"/>
          <w:b/>
          <w:color w:val="4A6B25"/>
          <w:sz w:val="15"/>
        </w:rPr>
        <w:t xml:space="preserve">4. </w:t>
      </w:r>
      <w:r>
        <w:rPr>
          <w:rFonts w:ascii="Calibri" w:hAnsi="Calibri"/>
          <w:b w:val="0"/>
          <w:color w:val="3A4A28"/>
          <w:sz w:val="17"/>
        </w:rPr>
        <w:t>Phillips 66 Corporate Website — Our People, Culture &amp; Commitment,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Phillips 66 Q4 2025 Earnings Call Highlights — Yahoo Finance, February 2026</w:t>
      </w:r>
    </w:p>
    <w:p>
      <w:pPr>
        <w:spacing w:before="20" w:after="20"/>
        <w:ind w:left="170"/>
      </w:pPr>
      <w:r>
        <w:rPr>
          <w:rFonts w:ascii="Calibri" w:hAnsi="Calibri"/>
          <w:b/>
          <w:color w:val="4A6B25"/>
          <w:sz w:val="15"/>
        </w:rPr>
        <w:t xml:space="preserve">6. </w:t>
      </w:r>
      <w:r>
        <w:rPr>
          <w:rFonts w:ascii="Calibri" w:hAnsi="Calibri"/>
          <w:b w:val="0"/>
          <w:color w:val="3A4A28"/>
          <w:sz w:val="17"/>
        </w:rPr>
        <w:t>Glassdoor — Phillips 66 Employee Reviews (1,273 reviews),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GuruFocus — Mark E Lashier Insider Trading Activity,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