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PTCT</w:t>
      </w:r>
      <w:r>
        <w:rPr>
          <w:rFonts w:ascii="Calibri" w:hAnsi="Calibri"/>
          <w:b/>
          <w:color w:val="1A2010"/>
          <w:sz w:val="40"/>
        </w:rPr>
        <w:t xml:space="preserve">  PTC Therapeutics, Inc.</w:t>
      </w:r>
    </w:p>
    <w:p>
      <w:pPr>
        <w:spacing w:after="120"/>
      </w:pPr>
      <w:r>
        <w:rPr>
          <w:rFonts w:ascii="Calibri" w:hAnsi="Calibri"/>
          <w:b/>
          <w:color w:val="6E8450"/>
          <w:sz w:val="18"/>
        </w:rPr>
        <w:t>GROWTH SLEEVE · 2026-04-30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PTC Therapeutics is a biopharmaceutical company focused on discovering, developing, and commercializing therapies for rare diseases. The company's portfolio includes Sephience (sepiapterin) for phenylketonuria (PKU), Translarna for Duchenne muscular dystrophy, and a pipeline targeting Huntington's disease, Friedreich's ataxia, and other rare genetic disorders.</w:t>
      </w:r>
    </w:p>
    <w:p>
      <w:r>
        <w:rPr>
          <w:rFonts w:ascii="Calibri" w:hAnsi="Calibri"/>
          <w:b/>
          <w:color w:val="6E8450"/>
          <w:sz w:val="18"/>
        </w:rPr>
        <w:t>991 Employees · https://www.ptcbio.com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PTC successfully launched Sephience for PKU in 2025, generating $92M in Q4 revenue with 946 patients on commercial therapy and 80%+ of US PKU centers of excellence prescribing — a transformative rare disease therapy launch [1][2]. The sale of Evrysdi royalty rights for ~$1B demonstrated strategic portfolio management. AI Deployment (0/2): No evidence of AI-powered drug discovery tools or AI deployment generating measurable results; PTC uses traditional drug development approaches focused on RNA biology. Market Share (2/2): PTC holds category leadership in PKU treatment with Sephience and is a leading rare disease-focused biotech — the only approved sepiapterin-based PKU therapy gives them first-mover advantage in a $2B+ addressable market [1]. Pipeline (2/2): Robust pipeline with PTC518 for Huntington's disease (Phase 2 data shifting competitive landscape), vatiquinone for Friedreich's ataxia, and additional rare disease programs with specific clinical timelines [2][3]. R&amp;D Intensity (0/1): R&amp;D spending is high at $680-720M guided for 2026 non-GAAP R&amp;D and SG&amp;A combined, but specific R&amp;D-to-revenue ratio is not separately disclosed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PTC's mission is centered on patients with rare diseases who have few or no treatment options — 'every patient deserves a therapy' reflects genuine purpose in one of medicine's most underserved areas [3]. This is specific, service-oriented, and distinctively different from large pharma peers. Community Impact (1/2): PTC focuses corporate responsibility on five pillars (patients, people, community, environment, governance) and scores well on Disease Eradication (96.4) and Technology Innovation (95.5) in ESG ratings [4]. Specific charitable dollar amounts are not prominently disclosed. Employee Retention (1/2): Named a Gallup Exceptional Workplace Award winner five times, suggesting strong employee engagement, though Glassdoor reviews are mixed (3.9/5) with some concerns about leadership culture under CEO Matt Klein and unrealistic timelines [3]. Insider Buying (1/2): Several insider purchases in March-April 2026 totaling ~$5M, including a notable $3.6M transaction, suggesting meaningful insider conviction in the Sephience growth story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PTC's trailing financial profile is significantly distorted by the ~$1B Evrysdi royalty sale in 2025, which inflated total revenue to $1.73B and profit margin to 39.4% [5]. On a product revenue basis, 2025 revenue was $831M with 2026 guidance of $700-800M (19-36% growth excluding Evrysdi) [1]. Forward P/E of 26.6x reflects the transition from one-time gains to sustainable product-driven earnings. The company has $1.9B cash against $2.7B debt with negative book value (-$2.52/share), though the Evrysdi sale proceeds significantly improved the cash position [5]. PTC is targeting cash flow breakeven in 2026, making the current margin profile unsustainable — investors are buying the Sephience growth trajectory rather than current profitability. Infrastructure scored on available metrics only (D/E and ROE unavailable due to negative equity). Liquidity floor cleared at $74.5M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PTC Therapeutics has a genuine rare disease mission that connects its work to patient impact, but the company's execution has been uneven — the Evrysdi royalty sale, while financially beneficial, represents exiting a major revenue stream. Leadership transition under CEO Matt Klein (2023) has drawn mixed employee sentiment, and the company has not yet demonstrated the decade-spanning consistency that Sinek values most.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PTC's commitment to patients with rare diseases who have few or no treatment options is a genuine Just Cause — it describes a future state (every rare disease patient has a therapy) that is idealistic, service-oriented, and can never be fully achieved [3]. The company's 25-year focus on RNA biology and rare disease validates this purpose over time. However, the Evrysdi royalty sale raises questions about whether financial engineering is starting to compete with the therapeutic mission.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significant trust issues under CEO Matt Klein, with employees citing unrealistic timelines, poorly handled layoffs (May 2023 terminations communicated via 7pm email), and concerns about leadership honesty [3]. While the Gallup Exceptional Workplace Award (5 times) suggests pockets of strong engagement, the cultural disruption from the CEO transition and layoffs indicates a low-trust environment in transition.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PTC operates in a rare disease landscape where BioMarin, Sarepta, and larger pharma companies serve as worthy rivals whose strengths push PTC to improve. The Huntington's disease program (PTC518) is positioned against Roche's tominersen and other competitors, and PTC frames competitive dynamics as motivation for clinical excellence rather than market share warfare [2].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Evrysdi royalty sale and strategic pivot to Sephience as the primary growth driver demonstrates some flexibility — PTC chose to monetize a legacy asset and invest in a new therapeutic platform [1]. However, this was a financial transaction rather than a fundamental business model reinvention. The company remains in the same rare disease biotech model it has operated since founding.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sell Evrysdi royalties for ~$1B to fund the Sephience launch was financially pragmatic but not clearly courageous — it traded predictable long-term royalty income for near-term cash to fund operations [1]. The poorly handled 2023 layoffs and leadership transition under Klein suggest optimization for financial efficiency over long-term organizational capability. No clear examples of leadership sacrificing short-term results for long-term principled investment.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PTC Therapeutics is a rare disease biotech executing a pivotal transformation around Sephience (sepiapterin) for PKU — the therapy generated $92M in Q4 2025 revenue with 946 patients and 80%+ of US PKU centers of excellence prescribing, targeting a $2B+ addressable market [1]. Product revenue guidance of $700-800M for 2026 (19-36% growth) signals confidence in the Sephience ramp, and the $1.9B cash position from the Evrysdi royalty sale provides multi-year runway to reach profitability [1][5]. The pipeline offers additional optionality with PTC518 for Huntington's disease (Phase 2 data shifting competitive landscape) and vatiquinone for Friedreich's ataxia [2]. At 26.6x forward P/E, the stock prices in moderate Sephience success but does not fully reflect pipeline upside.</w:t>
      </w:r>
    </w:p>
    <w:p>
      <w:pPr>
        <w:spacing w:after="120"/>
      </w:pPr>
      <w:r>
        <w:rPr>
          <w:rFonts w:ascii="Calibri" w:hAnsi="Calibri"/>
          <w:b w:val="0"/>
          <w:color w:val="3A4A28"/>
          <w:sz w:val="20"/>
        </w:rPr>
        <w:t>The bear case centers on execution risk and financial sustainability. PTC has negative book value (-$2.52/share) and $2.7B in debt against $1.9B cash, creating leverage risk if Sephience adoption stalls [5]. The company is only 'potentially' reaching cash flow breakeven in 2026 — years of cumulative losses ($1.5B+ from 2022-2024) have eroded equity. Revenue of -22.7% quarterly decline reflects the post-Evrysdi reality, and product revenue of $831M must grow significantly to cover the $680-720M guided R&amp;D and SG&amp;A expense [1][5]. The Huntington's data (PTC518) has been mixed, causing an 8.3% stock decline, and the vatiquinone program faces regulatory setbacks in Friedreich's ataxia [2][3]. CEO Klein's leadership has drawn employee criticism for unrealistic timelines and cultural disruption, introducing execution risk during this critical commercial launch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Sephience PKU commercial ramp — 946 patients on therapy with 80%+ of US centers of excellence prescribing, targeting 28% product revenue growth in 2026 to ~$750M [1]</w:t>
      </w:r>
    </w:p>
    <w:p>
      <w:pPr>
        <w:spacing w:before="40" w:after="40"/>
        <w:ind w:left="283"/>
      </w:pPr>
      <w:r>
        <w:rPr>
          <w:rFonts w:ascii="Calibri" w:hAnsi="Calibri"/>
          <w:b/>
          <w:color w:val="4A6B25"/>
          <w:sz w:val="20"/>
        </w:rPr>
        <w:t xml:space="preserve">2. </w:t>
      </w:r>
      <w:r>
        <w:rPr>
          <w:rFonts w:ascii="Calibri" w:hAnsi="Calibri"/>
          <w:b w:val="0"/>
          <w:color w:val="3A4A28"/>
          <w:sz w:val="20"/>
        </w:rPr>
        <w:t>PTC518 Huntington's disease Phase 2 data readout could significantly expand the addressable market and pipeline valuation [2]</w:t>
      </w:r>
    </w:p>
    <w:p>
      <w:pPr>
        <w:spacing w:before="40" w:after="40"/>
        <w:ind w:left="283"/>
      </w:pPr>
      <w:r>
        <w:rPr>
          <w:rFonts w:ascii="Calibri" w:hAnsi="Calibri"/>
          <w:b/>
          <w:color w:val="4A6B25"/>
          <w:sz w:val="20"/>
        </w:rPr>
        <w:t xml:space="preserve">3. </w:t>
      </w:r>
      <w:r>
        <w:rPr>
          <w:rFonts w:ascii="Calibri" w:hAnsi="Calibri"/>
          <w:b w:val="0"/>
          <w:color w:val="3A4A28"/>
          <w:sz w:val="20"/>
        </w:rPr>
        <w:t>Path to cash flow breakeven in 2026 would validate the Sephience-led business model and reduce financial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Sephience adoption plateau — PKU is a rare disease with limited patient population, and commercial ramp could decelerate if early-adopter centers have been saturated [1]</w:t>
      </w:r>
    </w:p>
    <w:p>
      <w:pPr>
        <w:spacing w:before="40" w:after="40"/>
        <w:ind w:left="283"/>
      </w:pPr>
      <w:r>
        <w:rPr>
          <w:rFonts w:ascii="Calibri" w:hAnsi="Calibri"/>
          <w:b/>
          <w:color w:val="4A6B25"/>
          <w:sz w:val="20"/>
        </w:rPr>
        <w:t xml:space="preserve">2. </w:t>
      </w:r>
      <w:r>
        <w:rPr>
          <w:rFonts w:ascii="Calibri" w:hAnsi="Calibri"/>
          <w:b w:val="0"/>
          <w:color w:val="3A4A28"/>
          <w:sz w:val="20"/>
        </w:rPr>
        <w:t>Negative book value and $2.7B debt — financial leverage creates existential risk if Sephience growth stalls or pipeline programs fail [5]</w:t>
      </w:r>
    </w:p>
    <w:p>
      <w:pPr>
        <w:spacing w:before="40" w:after="40"/>
        <w:ind w:left="283"/>
      </w:pPr>
      <w:r>
        <w:rPr>
          <w:rFonts w:ascii="Calibri" w:hAnsi="Calibri"/>
          <w:b/>
          <w:color w:val="4A6B25"/>
          <w:sz w:val="20"/>
        </w:rPr>
        <w:t xml:space="preserve">3. </w:t>
      </w:r>
      <w:r>
        <w:rPr>
          <w:rFonts w:ascii="Calibri" w:hAnsi="Calibri"/>
          <w:b w:val="0"/>
          <w:color w:val="3A4A28"/>
          <w:sz w:val="20"/>
        </w:rPr>
        <w:t>Leadership and culture risk — CEO transition under Matt Klein has drawn mixed employee sentiment, potentially impacting execution during the critical Sephience launch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Rare disease drug development is highly protected from AI disruption. PTC's core business — discovering, manufacturing, and commercializing therapies for rare genetic disorders — involves physical drug production, complex clinical trials, and deeply regulated FDA approval processes that AI cannot substitute [3]. The relationship-intensive rare disease commercial model (small patient populations, specialized prescribers, patient support programs) creates additional moats against AI displacement. While AI drug discovery tools could accelerate competitor pipelines, PTC's approved products and first-mover advantage in PKU provide durable competitive protection. AI Opportunity (0/1): PTC does not generate revenue from AI products or services. AI may accelerate drug discovery internally but is not yet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PTC Therapeutics Q4 and Full-Year 2025 Earnings — $831M product revenue, Sephience $92M Q4, 2026 guidance $700-800M, February 2026</w:t>
      </w:r>
    </w:p>
    <w:p>
      <w:pPr>
        <w:spacing w:before="20" w:after="20"/>
        <w:ind w:left="170"/>
      </w:pPr>
      <w:r>
        <w:rPr>
          <w:rFonts w:ascii="Calibri" w:hAnsi="Calibri"/>
          <w:b/>
          <w:color w:val="4A6B25"/>
          <w:sz w:val="15"/>
        </w:rPr>
        <w:t xml:space="preserve">2. </w:t>
      </w:r>
      <w:r>
        <w:rPr>
          <w:rFonts w:ascii="Calibri" w:hAnsi="Calibri"/>
          <w:b w:val="0"/>
          <w:color w:val="3A4A28"/>
          <w:sz w:val="17"/>
        </w:rPr>
        <w:t>PTC Therapeutics pipeline updates — PTC518 Huntington's data, vatiquinone Friedreich's ataxia, Sephience momentum, 2025-2026</w:t>
      </w:r>
    </w:p>
    <w:p>
      <w:pPr>
        <w:spacing w:before="20" w:after="20"/>
        <w:ind w:left="170"/>
      </w:pPr>
      <w:r>
        <w:rPr>
          <w:rFonts w:ascii="Calibri" w:hAnsi="Calibri"/>
          <w:b/>
          <w:color w:val="4A6B25"/>
          <w:sz w:val="15"/>
        </w:rPr>
        <w:t xml:space="preserve">3. </w:t>
      </w:r>
      <w:r>
        <w:rPr>
          <w:rFonts w:ascii="Calibri" w:hAnsi="Calibri"/>
          <w:b w:val="0"/>
          <w:color w:val="3A4A28"/>
          <w:sz w:val="17"/>
        </w:rPr>
        <w:t>PTC Therapeutics leadership page, Glassdoor reviews (3.9/5), Gallup Exceptional Workplace Award, CEO Klein commentary</w:t>
      </w:r>
    </w:p>
    <w:p>
      <w:pPr>
        <w:spacing w:before="20" w:after="20"/>
        <w:ind w:left="170"/>
      </w:pPr>
      <w:r>
        <w:rPr>
          <w:rFonts w:ascii="Calibri" w:hAnsi="Calibri"/>
          <w:b/>
          <w:color w:val="4A6B25"/>
          <w:sz w:val="15"/>
        </w:rPr>
        <w:t xml:space="preserve">4. </w:t>
      </w:r>
      <w:r>
        <w:rPr>
          <w:rFonts w:ascii="Calibri" w:hAnsi="Calibri"/>
          <w:b w:val="0"/>
          <w:color w:val="3A4A28"/>
          <w:sz w:val="17"/>
        </w:rPr>
        <w:t>PTC Therapeutics Corporate Sustainability Report — ESG ratings, disease eradication focus,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PTCT (PTC Therapeutics),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