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PTC</w:t>
      </w:r>
      <w:r>
        <w:rPr>
          <w:rFonts w:ascii="Calibri" w:hAnsi="Calibri"/>
          <w:b/>
          <w:color w:val="1A2010"/>
          <w:sz w:val="40"/>
        </w:rPr>
        <w:t xml:space="preserve">  PTC Inc.</w:t>
      </w:r>
    </w:p>
    <w:p>
      <w:pPr>
        <w:spacing w:after="120"/>
      </w:pPr>
      <w:r>
        <w:rPr>
          <w:rFonts w:ascii="Calibri" w:hAnsi="Calibri"/>
          <w:b/>
          <w:color w:val="6E8450"/>
          <w:sz w:val="18"/>
        </w:rPr>
        <w:t>GROWTH SLEEVE · 2026-05-03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PTC develops enterprise software for product lifecycle management (Windchill, Arena), computer-aided design (Creo, Onshape), Industrial IoT (ThingWorx, Kepware), augmented reality (Vuforia), and service lifecycle management (ServiceMax, Servigistics). The company serves over 50,000 customers across discrete manufacturing industries and has transitioned to a recurring SaaS/subscription revenue model.</w:t>
      </w:r>
    </w:p>
    <w:p>
      <w:r>
        <w:rPr>
          <w:rFonts w:ascii="Calibri" w:hAnsi="Calibri"/>
          <w:b/>
          <w:color w:val="6E8450"/>
          <w:sz w:val="18"/>
        </w:rPr>
        <w:t>7,000 Employees · https://www.ptc.com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PTC delivered Q1 FY2026 revenue of $686M, up 21% YoY, with ARR reaching $2,494M (+13% YoY) demonstrating successful SaaS transformation [1]. The acquisitions of ServiceMax (field service), Arena (SaaS PLM), and Codebeamer (ALM) over the past 5 years materially expanded PTC's addressable market and created an end-to-end digital thread from design to service [1]. AI Deployment (2/2): PTC is integrating AI across its product suite — generative design in Creo, predictive maintenance via ThingWorx ML, and semantic search chatbots powered by GenAI, with measurable customer adoption in manufacturing workflows [2]. Market Share (1/2): PTC is a meaningful player in PLM and CAD but competes against Siemens (Teamcenter), Dassault (SOLIDWORKS/ENOVIA), and Autodesk; strong in mid-market PLM but not the outright category leader [2]. Pipeline (1/2): Continued AI integration across product lines and Onshape cloud-native CAD growth, but no transformative next-gen product with specific launch date announced [1]. R&amp;D Intensity (1/1): PTC invests heavily in R&amp;D with 84.2% gross margins supporting reinvestment in AI, IoT, and SaaS platform development, well above software industry averages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PTC's purpose centers on helping manufacturers digitally transform product development and service — clear but not distinctive, describing what the company does rather than articulating a deeper vision of the future [2]. Community Impact (1/2): PTC for Good encompasses employee volunteer PTO, donation matching, and employee-nominated impact grants through the PTC Foundation, with Boston Globe Top Places to Work recognition seven consecutive years [3]. Employee Retention (2/2): Glassdoor rating of 4.1/5 across 2,865 reviews is strong for enterprise software; Boston Globe Top Places to Work #3 ranking for large businesses in 2023 indicates above-average retention and culture [2]. Insider Buying (1/2): CEO Neil Barua (appointed February 2024 from ServiceMax acquisition) has significant equity alignment; minimal net insider buying data available beyond standard compensation grants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PTC's financial profile is exceptional for an enterprise software company. D/E of 35.9% is well below the 70% target, with $1.38B debt against $210M cash and $787M annual FCF providing strong coverage [1]. ROE of 23.1% exceeds the 15% target. Revenue growth of 21.4% YoY and 12.3% 3-year CAGR both exceed the 10% threshold [1]. Forward P/E of 16.4x is attractive for a 20%+ growth software company. Profit margin of 28.6% comfortably exceeds the 20% target with 84.2% gross margins providing significant operating leverage [3]. Estimated forward PEG of ~0.51 based on 32.3% 3-year EPS CAGR well below the 1.0 target. Liquidity floor easily cleared: 1.2M avg volume × $136.53 = $166M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PTC under new CEO Neil Barua is navigating a generational transition from Jim Heppelmann's 14-year tenure while sustaining the company's multi-year transformation from perpetual licenses to SaaS/subscription. The patient execution of this transition — absorbing short-term revenue pressure for long-term recurring revenue quality — demonstrates infinite game thinking, though the company's purpose remains more functional than inspirational.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PTC's cause — enabling manufacturers to digitally transform their product lifecycle — is genuine and partially lived, evidenced by consistent strategic investments in CAD, PLM, IoT, and AR over decades [1]. The digital thread vision connecting design, manufacturing, and service has guided acquisitions (ServiceMax, Arena, Codebeamer) and product strategy. However, it lacks the transformative quality of a cause that defines the company's competitive advantage.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4.1/5 rating and Boston Globe Top Places to Work recognition indicate adequate trust, though the CEO transition from Heppelmann to Barua in February 2024 represents organizational change [2]. The company's emphasis on inclusion, diversity, and culture modernization under Heppelmann's later years suggests deliberate investment in trust-building.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PTC explicitly acknowledges Siemens (Teamcenter), Dassault (SOLIDWORKS/ENOVIA), and Autodesk as worthy competitors whose strengths — particularly in large enterprise PLM and consumer CAD — have pushed PTC to differentiate through IoT integration and cloud-native platforms like Onshape [1]. The competitive framing focuses on improvement rather than conquest.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PTC's multi-year transition from perpetual licenses to SaaS/subscription was a significant strategic pivot that required short-term revenue sacrifice for long-term business model quality [1]. The expansion from pure CAD into PLM, then IoT (ThingWorx), then AR (Vuforia), then service management (ServiceMax) shows incremental evolution. However, none of these were transformative reinventions — they were adjacent market expansions.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SaaS transition required courage — PTC absorbed years of revenue compression to shift from perpetual to subscription, sacrificing near-term earnings for long-term quality [1]. Heppelmann's bet on IoT (ThingWorx acquisition) was contrarian at the time. Barua's appointment from ServiceMax signals continued willingness to bring outside perspective.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PTC is executing a best-in-class SaaS transformation that has driven ARR to $2,494M (+13% YoY) with Q1 FY2026 revenue surging 21% to $686M and GAAP EPS doubling YoY [1]. The company's 84.2% gross margins, 28.6% profit margins, and $787M in annual FCF on only $1.38B debt demonstrate exceptional financial quality for a mid-cap software company [3]. At 16.4x forward P/E — a meaningful discount to software peers — PTC offers rare value in the enterprise software sector, supported by sticky PLM/CAD relationships with 50,000+ manufacturing customers, mission-critical workflows with high switching costs, and AI-driven product enhancements accelerating customer adoption [1]. The digital thread vision connecting Creo (design) → Windchill (PLM) → ThingWorx (IoT) → ServiceMax (service) creates cross-sell opportunity that no single competitor matches end-to-end.</w:t>
      </w:r>
    </w:p>
    <w:p>
      <w:pPr>
        <w:spacing w:after="120"/>
      </w:pPr>
      <w:r>
        <w:rPr>
          <w:rFonts w:ascii="Calibri" w:hAnsi="Calibri"/>
          <w:b w:val="0"/>
          <w:color w:val="3A4A28"/>
          <w:sz w:val="20"/>
        </w:rPr>
        <w:t>The bear case centers on execution risk under new CEO Neil Barua, who took over in February 2024 after Jim Heppelmann's transformative 14-year tenure. ARR growth of 13% (constant currency, excluding Kepware/ThingWorx) is decelerating from prior periods, raising questions about whether the SaaS transition tailwind is fading [1]. PTC competes against well-resourced incumbents — Siemens (Teamcenter), Dassault (3DEXPERIENCE), and Autodesk — all of whom are investing heavily in cloud and AI. The $16.2B market cap may limit PTC's ability to make transformative acquisitions. FY2026 revenue guidance of $2,675-$2,940M implies wide variability in the back half [1]. The stock trades below its 50-day SMA of $146.92, suggesting near-term momentum weakness despite strong fundamentals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ARR acceleration from SaaS migration with $2,494M ARR base growing 13% YoY and 21% revenue growth demonstrating subscription economics inflection [1]</w:t>
      </w:r>
    </w:p>
    <w:p>
      <w:pPr>
        <w:spacing w:before="40" w:after="40"/>
        <w:ind w:left="283"/>
      </w:pPr>
      <w:r>
        <w:rPr>
          <w:rFonts w:ascii="Calibri" w:hAnsi="Calibri"/>
          <w:b/>
          <w:color w:val="4A6B25"/>
          <w:sz w:val="20"/>
        </w:rPr>
        <w:t xml:space="preserve">2. </w:t>
      </w:r>
      <w:r>
        <w:rPr>
          <w:rFonts w:ascii="Calibri" w:hAnsi="Calibri"/>
          <w:b w:val="0"/>
          <w:color w:val="3A4A28"/>
          <w:sz w:val="20"/>
        </w:rPr>
        <w:t>AI integration across Creo (generative design), ThingWorx (predictive maintenance), and Windchill (semantic search) driving higher customer adoption and pricing power [2]</w:t>
      </w:r>
    </w:p>
    <w:p>
      <w:pPr>
        <w:spacing w:before="40" w:after="40"/>
        <w:ind w:left="283"/>
      </w:pPr>
      <w:r>
        <w:rPr>
          <w:rFonts w:ascii="Calibri" w:hAnsi="Calibri"/>
          <w:b/>
          <w:color w:val="4A6B25"/>
          <w:sz w:val="20"/>
        </w:rPr>
        <w:t xml:space="preserve">3. </w:t>
      </w:r>
      <w:r>
        <w:rPr>
          <w:rFonts w:ascii="Calibri" w:hAnsi="Calibri"/>
          <w:b w:val="0"/>
          <w:color w:val="3A4A28"/>
          <w:sz w:val="20"/>
        </w:rPr>
        <w:t>Cross-sell expansion of the digital thread — Creo + Windchill + ThingWorx + ServiceMax — creating end-to-end value proposition competitors cannot match individually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transition risk — Neil Barua assumed leadership in February 2024 and must sustain Heppelmann's strategic vision while establishing his own direction for the company [2]</w:t>
      </w:r>
    </w:p>
    <w:p>
      <w:pPr>
        <w:spacing w:before="40" w:after="40"/>
        <w:ind w:left="283"/>
      </w:pPr>
      <w:r>
        <w:rPr>
          <w:rFonts w:ascii="Calibri" w:hAnsi="Calibri"/>
          <w:b/>
          <w:color w:val="4A6B25"/>
          <w:sz w:val="20"/>
        </w:rPr>
        <w:t xml:space="preserve">2. </w:t>
      </w:r>
      <w:r>
        <w:rPr>
          <w:rFonts w:ascii="Calibri" w:hAnsi="Calibri"/>
          <w:b w:val="0"/>
          <w:color w:val="3A4A28"/>
          <w:sz w:val="20"/>
        </w:rPr>
        <w:t>ARR growth deceleration from 13% constant currency could signal SaaS transition maturation, compressing the multiple premium software investors assign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Siemens (Teamcenter cloud), Dassault (3DEXPERIENCE), and Autodesk (Fusion) who are all investing aggressively in cloud-native platforms and AI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PTC's core PLM, CAD, and IoT software serves complex discrete manufacturing workflows — designing physical products, managing bills of materials, orchestrating supply chains, and servicing industrial equipment [1]. These are deeply embedded enterprise processes with high switching costs and regulatory requirements (aerospace, medical devices, automotive) that AI cannot easily replicate or displace. AI enhances rather than threatens PTC's products — generative design accelerates CAD workflows, ML improves predictive maintenance via ThingWorx, and AI-powered search improves PLM usability [2]. Competitors integrating AI (Siemens, Dassault) validate the category rather than disrupting it. AI Opportunity (1/1): PTC generates meaningful AI-related revenue through ML-powered predictive maintenance in ThingWorx, generative design in Creo, and AI-enhanced semantic search across its product suite, with customers paying for these AI capabilities as part of subscription licenses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PTC Q1 FY2026 Earnings Release — $686M revenue (+21% YoY), $2,494M ARR (+13%), raised FY2026 guidance, January 2026</w:t>
      </w:r>
    </w:p>
    <w:p>
      <w:pPr>
        <w:spacing w:before="20" w:after="20"/>
        <w:ind w:left="170"/>
      </w:pPr>
      <w:r>
        <w:rPr>
          <w:rFonts w:ascii="Calibri" w:hAnsi="Calibri"/>
          <w:b/>
          <w:color w:val="4A6B25"/>
          <w:sz w:val="15"/>
        </w:rPr>
        <w:t xml:space="preserve">2. </w:t>
      </w:r>
      <w:r>
        <w:rPr>
          <w:rFonts w:ascii="Calibri" w:hAnsi="Calibri"/>
          <w:b w:val="0"/>
          <w:color w:val="3A4A28"/>
          <w:sz w:val="17"/>
        </w:rPr>
        <w:t>PTC Inc. corporate website — executive leadership, AI innovation strategy, culture and social impact programs,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PTC — key statistics, financial metrics,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