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PTEN</w:t>
      </w:r>
      <w:r>
        <w:rPr>
          <w:rFonts w:ascii="Calibri" w:hAnsi="Calibri"/>
          <w:b/>
          <w:color w:val="1A2010"/>
          <w:sz w:val="40"/>
        </w:rPr>
        <w:t xml:space="preserve">  Patterson-UTI Energy,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2026-03-27 · Inspire: 40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Drilling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Patterson-UTI Energy is a leading provider of drilling and completion services to oil and natural gas companies, operating 136 Tier-1 super-spec drilling rigs, approximately 2.7 million hydraulic horsepower in fracturing, and a global drilling products business. The 2023 merger with NexTier gave it nearly 20% of the North American drilling and completions market.</w:t>
      </w:r>
    </w:p>
    <w:p>
      <w:r>
        <w:rPr>
          <w:rFonts w:ascii="Calibri" w:hAnsi="Calibri"/>
          <w:b/>
          <w:color w:val="6E8450"/>
          <w:sz w:val="18"/>
        </w:rPr>
        <w:t>7,900 Employees · https://www.patenergy.com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Patterson-UTI operates a high-quality asset base including the APEX XC+ rig (1M-pound centerpiece, 35,000' racking capacity) and REX autonomous drilling software, representing meaningful technology differentiation [1][2]. CEO Hendricks frames AI readiness as 'a leadership test, not a tech problem,' with the company deploying energy management systems including lithium-ion battery storage and multi-source power management [2]. However, the broader oilfield services market remains commoditized, and the company's revenue declined 1% YoY amid a challenging drilling environment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Patterson-UTI's vision 'to advance our leadership position in drilling and completions through teamwork, technology, and innovation' is functional but lacks a transcendent purpose beyond operational excellence [2]. The company is committed to diversity and fostering inclusion, and the merger culture with Ulterra was described as 'like-minded, rooted in the oilfield — centered around family, innovation, drive' [2]. Executive team rated 'B' on Comparably (Top 30%), but the company conducted workforce reductions post-merger.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Patterson-UTI's financials are stressed with negative profit margin (-1.9%), negative ROE (-2.8%), and trailing EPS of -$0.24, reflecting the cyclical downturn in oilfield services [4]. D/E of 39.7% is healthy, and revenue of $4.84B TTM shows scale. However, the forward P/E is negative (-47.5), payout ratio is severely elevated at 213%, and the dividend appears unsustainable relative to current earnings power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Patterson-UTI demonstrates mixed infinite game characteristics — the NexTier merger shows strategic ambition and the company invests in technology for long-term positioning, but the cyclical oilfield services business inherently creates short-term pressures that drive finite thinking around rig counts, utilization rates, and quarterly contract pricing.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company's vision centers on 'safely and responsibly helping provide the world with oil and gas,' which connects to energy security but lacks differentiation [2]. The emphasis on environmental sustainability through natural gas-powered equipment and emission reduction targets shows evolving purpose beyond pure extraction services.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Hendricks has led since 2017 with stability, and the NexTier/Ulterra merger integration was described as culturally aligned [2]. However, post-merger workforce reductions and the cyclical nature of oilfield employment create inherent tensions. The 'B' Comparably rating for executive leadership (Top 30%) suggests above-average but not exceptional team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Patterson-UTI competes against Helmerich &amp; Payne, Liberty Energy, and Halliburton in a concentrated market. The NexTier merger was positioned as creating competitive scale rather than learning from rivals, suggesting a finite competitive mindset. However, international expansion into Saudi Arabia and North Africa shows strategic learning from global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NexTier merger represented a significant strategic pivot, transforming Patterson-UTI from a pure drilling company to an integrated services provider [1]. The Saudi Arabia manufacturing center upgrade and North Africa positioning show geographic flexibility. The pursuit of geothermal opportunities signals willingness to explore energy transition adjacencies.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Hendricks' framing of AI as 'a leadership test' shows intellectual courage, and the company maintained technology investment during the downturn [2]. However, maintaining an unsustainable dividend payout ratio of 213% during a loss-making period suggests reluctance to make the difficult shareholder communication rather than bold long-term thinking.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Patterson-UTI offers leveraged exposure to a potential natural gas drilling recovery driven by new LNG facility demand, with a dominant 20% North American market share, 136 Tier-1 super-spec rigs, and 2.7M HHP in completion services post-NexTier merger [1]. At $11.26, the stock trades at a steep discount to tangible book value, with D/E of only 39.7% and a healthy balance sheet that can weather the cycle. If LNG-driven natural gas drilling increases materialize in H2 2026, Patterson-UTI's integrated platform is positioned to capture disproportionate share of incremental demand.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significant: the company is currently unprofitable with negative EPS, revenue declining 1% YoY, and a dividend payout ratio of 213% that appears unsustainable without an earnings recovery [4]. Legacy contracts are rolling off at lower rates, completion services adjusted gross profit is expected to decline sequentially, and the U.S. rig count has been range-bound for quarters. If oil prices decline further or LNG demand fails to materialize on schedule, Patterson-UTI could face a prolonged trough requiring dividend cuts and further cost restructuring.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LNG facility commissioning expected to drive incremental natural gas drilling demand in H2 2026 and beyond, with PTEN positioned as the largest integrated provider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International expansion with Saudi Arabia manufacturing center upgrade and North Africa natural gas opportunities creating multi-year growth runway outside the U.S.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rig count recovery from current 94-rig average if oil prices stabilize above $70/bbl and natural gas demand accelerates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Dividend sustainability risk with 213% payout ratio against negative EPS — a cut would likely pressure the stock further and signal management's lack of confidence in near-term recovery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Prolonged U.S. rig count stagnation as E&amp;P companies prioritize capital discipline over production growth, limiting PTEN's utilization and pricing power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Oil price volatility below $60/bbl would accelerate E&amp;P spending cuts, reducing demand for PTEN's drilling and completion services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Oilfield services require physical drilling rigs, completion equipment, and on-site crews that AI cannot replace, providing structural protection [1]. AI enhances rather than threatens this business — Patterson-UTI's REX autonomous drilling software and energy management systems use AI/ML to optimize rig performance, reduce downtime, and lower emissions [2]. The company's 136 super-spec rigs represent a physical asset moat with high barriers to entry and significant switching costs for E&amp;P customers.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Patterson-UTI Q4 2025 Investor Presentation and Earnings Results,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Patterson-UTI CEO Andy Hendricks leadership commentary and company profiles,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Patterson-UTI Corporate Sustainability Report, 2023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PTEN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