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PTON</w:t>
      </w:r>
      <w:r>
        <w:rPr>
          <w:rFonts w:ascii="Calibri" w:hAnsi="Calibri"/>
          <w:b/>
          <w:color w:val="1A2010"/>
          <w:sz w:val="40"/>
        </w:rPr>
        <w:t xml:space="preserve">  Peloton Interactive, Inc.</w:t>
      </w:r>
    </w:p>
    <w:p>
      <w:pPr>
        <w:spacing w:after="120"/>
      </w:pPr>
      <w:r>
        <w:rPr>
          <w:rFonts w:ascii="Calibri" w:hAnsi="Calibri"/>
          <w:b/>
          <w:color w:val="6E8450"/>
          <w:sz w:val="18"/>
        </w:rPr>
        <w:t>GROWTH SLEEVE · 2026-03-24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Peloton Interactive is a connected fitness platform offering stationary bikes, treadmills, and rowing machines combined with a subscription content service featuring instructor-led classes. The company is executing a turnaround under CEO Chris Bruzzo focused on profitability and free cash flow generation after the pandemic boom and subsequent collapse, maintaining 2.732 million paid connected fitness subscribers.</w:t>
      </w:r>
    </w:p>
    <w:p>
      <w:r>
        <w:rPr>
          <w:rFonts w:ascii="Calibri" w:hAnsi="Calibri"/>
          <w:b/>
          <w:color w:val="6E8450"/>
          <w:sz w:val="18"/>
        </w:rPr>
        <w:t>3,600 Employees · https://www.onepeloton.com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Peloton pioneered the connected fitness category, combining premium hardware with subscription content in a way that established a new market — earning 2 points on Innovation Track Record for this category creation. However, the company has not executed meaningful additional product innovations since the original bike launch[1]. AI-driven personalized training recommendations and Peloton's AI form correction features are in deployment, earning 1 point for AI integration. The brand holds category leadership in premium connected fitness bikes and treadmills — scoring 1 point. Product pipeline is limited — new rowing machine and accessories — scoring 0. R&amp;D spending declined 23.2% in FY2025 to $234.2M suggesting reduced innovation investment — scoring 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Peloton's mission of 'bringing world-class boutique studio fitness into the home' is clear, specific, and has been validated by 2.7M+ subscriber loyalty even through significant brand turbulence — scoring 3 on mission floor. The company's positive community culture among riders and instructors is a genuine differentiator — scoring 1 for community impact. Net retention and subscription churn data show declining membership (-164K subscribers in FY2026 Q1 YoY) — scoring 0. No significant insider buying found — scoring 1 for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Peloton generated $2.5B in FY2025 revenue (-7.8% YoY) with -$118.9M net income, but adjusted EBITDA turned positive at $53.5M and Q1 FY2026 GAAP net income was $14M — the first GAAP profit in years[1]. Gross margin improved to 50.9%, operating cash flow was $143.8M in H1 FY2026. The critical issue is $1.534B in gross debt (term loan + convertibles) against -$327M stockholders' deficit — highly leveraged. Revenue growth is negative. D/E is technically -5.96x (negative equity). Liquidity floor: stock price ~$8 × avg daily volume ~8M = well above $1M. No dividend.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Peloton's original vision of democratizing boutique fitness was genuinely mission-driven under founder John Foley. The current turnaround phase under new leadership is primarily financial survival and stabilization. The question for Sinek is whether the current leadership has reconnected the company with a Just Cause or is simply managing a recovery — the evidence suggests the latter, with the 84% YoY EPS improvement driven by cost cuts rather than new strategic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Peloton's stated purpose of making world-class fitness accessible at home is genuine and has been validated by 2.7M+ loyal subscribers who maintained subscriptions even through significant brand disruptions[1]. However, the current leadership is in turnaround mode rather than cause-driven expansion. Scores 1 point: cause exists but recent strategic decisions have been financial rather than mission-driven.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Peloton has gone through CEO changes, massive layoffs (from 8,500 to 3,600 employees), and significant organizational restructuring. The remaining team has stabilized, and free cash flow generation demonstrates operational execution capability. Scores 1 point: stable now but with significant organizational trauma.</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Peloton's repositioning acknowledges Apple Fitness+, Lululemon Mirror, and boutique studios as competitive forces that have revealed weaknesses in Peloton's hardware pricing and content exclusivity. Management language focuses on content quality as the differentiator.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Peloton has meaningfully pivoted from a hardware-first to a content/subscription-first strategy, opened up content availability to non-Peloton devices, and restructured its manufacturing and retail footprint. These are genuine strategic pivots driven by financial necessity. Scores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accept declining hardware and subscriber revenue while prioritizing free cash flow and debt reduction demonstrates long-term discipline over short-term revenue maximization. The May 2025 $1.35B refinancing extended the maturity wall at cost.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Peloton's bull case is a free cash flow turnaround story: the company generated $380M in free cash flow over the last 12 months, Q1 FY2026 adjusted EBITDA was $118M (above guidance), and the May 2025 $1.35B refinancing eliminated the near-term maturity wall[1]. With 2.7M+ highly loyal subscribers paying ~$44/month in subscription revenue, Peloton has a recurring revenue base that is sticky (97%+ gross retention) and high-margin (50.9% gross margin). At ~$8/share, the stock trades at a significant discount to the enterprise value implied by its free cash flow generation.</w:t>
      </w:r>
    </w:p>
    <w:p>
      <w:pPr>
        <w:spacing w:after="120"/>
      </w:pPr>
      <w:r>
        <w:rPr>
          <w:rFonts w:ascii="Calibri" w:hAnsi="Calibri"/>
          <w:b w:val="0"/>
          <w:color w:val="3A4A28"/>
          <w:sz w:val="20"/>
        </w:rPr>
        <w:t>The bear case is structural: Peloton's subscriber count is declining (-164K YoY in Q1 FY2026) and hardware sales are contracting, meaning the high-margin subscription base is gradually eroding[1]. The $1.534B debt load with negative stockholders' equity is a structural vulnerability — any free cash flow shortfall reduces the already-thin buffer between solvency and distress. Short interest at 17.44% of outstanding shares reflects significant bearish conviction. Competing fitness content platforms (Apple Fitness+, Amazon Halo) are improving rapidly with AI personalization, and Peloton's hardware moat is weakening as competitors offer comparable connected fitness at lower price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Subscriber base stabilization — reversing the 164K YoY subscriber decline in Q1 FY2026 would signal that the content-first strategy is working and that churn has been arrested</w:t>
      </w:r>
    </w:p>
    <w:p>
      <w:pPr>
        <w:spacing w:before="40" w:after="40"/>
        <w:ind w:left="283"/>
      </w:pPr>
      <w:r>
        <w:rPr>
          <w:rFonts w:ascii="Calibri" w:hAnsi="Calibri"/>
          <w:b/>
          <w:color w:val="4A6B25"/>
          <w:sz w:val="20"/>
        </w:rPr>
        <w:t xml:space="preserve">2. </w:t>
      </w:r>
      <w:r>
        <w:rPr>
          <w:rFonts w:ascii="Calibri" w:hAnsi="Calibri"/>
          <w:b w:val="0"/>
          <w:color w:val="3A4A28"/>
          <w:sz w:val="20"/>
        </w:rPr>
        <w:t>New hardware product cycle at accessible price points — expanding the total addressable market beyond $1,500+ bikes could attract price-sensitive fitness consumers who have switched to competitors</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content licensing deal with a major gym chain or health system that monetizes Peloton's content library beyond hardware-owning subscribers, diversifying the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Subscriber base continuing to decline below 2.5M as Apple Fitness+ and Lululemon Studio offer comparable content at lower cost, eroding the recurring revenue base that underpins the free cash flow thesis</w:t>
      </w:r>
    </w:p>
    <w:p>
      <w:pPr>
        <w:spacing w:before="40" w:after="40"/>
        <w:ind w:left="283"/>
      </w:pPr>
      <w:r>
        <w:rPr>
          <w:rFonts w:ascii="Calibri" w:hAnsi="Calibri"/>
          <w:b/>
          <w:color w:val="4A6B25"/>
          <w:sz w:val="20"/>
        </w:rPr>
        <w:t xml:space="preserve">2. </w:t>
      </w:r>
      <w:r>
        <w:rPr>
          <w:rFonts w:ascii="Calibri" w:hAnsi="Calibri"/>
          <w:b w:val="0"/>
          <w:color w:val="3A4A28"/>
          <w:sz w:val="20"/>
        </w:rPr>
        <w:t>Debt refinancing risk — the $985M term loan and $549M convertible notes require ongoing debt service, and any revenue shortfall could trigger covenant violations or force distressed refinancing</w:t>
      </w:r>
    </w:p>
    <w:p>
      <w:pPr>
        <w:spacing w:before="40" w:after="40"/>
        <w:ind w:left="283"/>
      </w:pPr>
      <w:r>
        <w:rPr>
          <w:rFonts w:ascii="Calibri" w:hAnsi="Calibri"/>
          <w:b/>
          <w:color w:val="4A6B25"/>
          <w:sz w:val="20"/>
        </w:rPr>
        <w:t xml:space="preserve">3. </w:t>
      </w:r>
      <w:r>
        <w:rPr>
          <w:rFonts w:ascii="Calibri" w:hAnsi="Calibri"/>
          <w:b w:val="0"/>
          <w:color w:val="3A4A28"/>
          <w:sz w:val="20"/>
        </w:rPr>
        <w:t>Product recall or safety incident similar to the 2021 treadmill recall that significantly damaged brand trust and accelerated subscriber churn at a company that cannot afford another reputational crisis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Peloton's hardware and instructor-led content business has physical and human elements that AI cannot fully replace — the community, instructor personality, and live class experience create connection that pure AI fitness apps cannot replicate[1]. However, AI fitness apps (Apple Fitness+, Mirror/Lululemon, and AI personal trainers) represent a growing competitive threat to Peloton's subscription model, particularly as AI coaching improves. Peloton's brand recognition and subscriber loyalty provide defensive moats. AI is actually being deployed by Peloton in form correction and personalization features. Scores 6 on AI Risk Protection and 0 on AI Opportunity tiebreaker.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Peloton Interactive, 'Q1 2026 Financial Results', investor.onepeloton.com, November 2025</w:t>
      </w:r>
    </w:p>
    <w:p>
      <w:pPr>
        <w:spacing w:before="20" w:after="20"/>
        <w:ind w:left="170"/>
      </w:pPr>
      <w:r>
        <w:rPr>
          <w:rFonts w:ascii="Calibri" w:hAnsi="Calibri"/>
          <w:b/>
          <w:color w:val="4A6B25"/>
          <w:sz w:val="15"/>
        </w:rPr>
        <w:t xml:space="preserve">2. </w:t>
      </w:r>
      <w:r>
        <w:rPr>
          <w:rFonts w:ascii="Calibri" w:hAnsi="Calibri"/>
          <w:b w:val="0"/>
          <w:color w:val="3A4A28"/>
          <w:sz w:val="17"/>
        </w:rPr>
        <w:t>Motley Fool, 'Peloton (PTON) Q1 2026 Earnings Call Transcript', November 2025</w:t>
      </w:r>
    </w:p>
    <w:p>
      <w:pPr>
        <w:spacing w:before="20" w:after="20"/>
        <w:ind w:left="170"/>
      </w:pPr>
      <w:r>
        <w:rPr>
          <w:rFonts w:ascii="Calibri" w:hAnsi="Calibri"/>
          <w:b/>
          <w:color w:val="4A6B25"/>
          <w:sz w:val="15"/>
        </w:rPr>
        <w:t xml:space="preserve">3. </w:t>
      </w:r>
      <w:r>
        <w:rPr>
          <w:rFonts w:ascii="Calibri" w:hAnsi="Calibri"/>
          <w:b w:val="0"/>
          <w:color w:val="3A4A28"/>
          <w:sz w:val="17"/>
        </w:rPr>
        <w:t>StockTitan, 'PTON Financials', March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'Peloton Interactive Statistics &amp; Valuation',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