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PTY</w:t>
      </w:r>
      <w:r>
        <w:rPr>
          <w:rFonts w:ascii="Calibri" w:hAnsi="Calibri"/>
          <w:b/>
          <w:color w:val="1A2010"/>
          <w:sz w:val="40"/>
        </w:rPr>
        <w:t xml:space="preserve">  PIMCO Corporate &amp; Income Opportunity Fund</w:t>
      </w:r>
    </w:p>
    <w:p>
      <w:pPr>
        <w:spacing w:after="120"/>
      </w:pPr>
      <w:r>
        <w:rPr>
          <w:rFonts w:ascii="Calibri" w:hAnsi="Calibri"/>
          <w:b/>
          <w:color w:val="6E8450"/>
          <w:sz w:val="18"/>
        </w:rPr>
        <w:t>DIVIDEND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PIMCO Corporate &amp; Income Opportunity Fund is a closed-end fixed income mutual fund launched and managed by Allianz Global Investors Fund Management LLC and co-managed by Pacific Investment Management Company LLC. The fund invests in global fixed income markets, focusing on corporate debt obligations rated in the lowest investment grade category (Baa/BBB) and highest non-investment grade category (Ba/BB), targeting intermediate maturity bonds across multiple industries and sectors.</w:t>
      </w:r>
    </w:p>
    <w:p>
      <w:r>
        <w:rPr>
          <w:rFonts w:ascii="Calibri" w:hAnsi="Calibri"/>
          <w:b/>
          <w:color w:val="6E8450"/>
          <w:sz w:val="18"/>
        </w:rPr>
        <w:t>https://www.pimco.com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PTY is a closed-end fixed income fund, not an operating company — it does not launch products, pivot business models, or transform industries. The fund's strategy of investing in investment-grade and high-yield corporate bonds has remained essentially unchanged since its 2002 inception [1]. AI Deployment (0/2): There is no evidence of AI-powered products or quantified AI-driven savings specific to PTY. While PIMCO as a firm likely uses quantitative models and data analytics across its $1.9 trillion AUM platform, PTY itself does not ship AI products to customers [2]. Market Share (1/2): PTY is one of PIMCO's most popular closed-end funds with $2.6B in total assets, consistently trading at a premium to NAV, reflecting strong investor demand and PIMCO's brand strength in fixed income [1]. Product Pipeline (0/2): As a closed-end fund with a fixed mandate, there is no product pipeline to evaluate — the fund's investment strategy and objectives are established at inception. R&amp;D Intensity (1/1): PIMCO invests heavily in research, employing over 300 portfolio managers and analysts globally, with deep macroeconomic and credit research capabilities that inform PTY's investment decisions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PIMCO's stated mission is to deliver superior investment returns, solutions, and service to clients, which is a generic asset management mission interchangeable with virtually any investment firm — it does not articulate a deeper purpose beyond financial performance [2]. Community Impact (1/2): The PIMCO Foundation has donated over $100 million since its founding in 2012, supporting education, economic mobility, and environmental sustainability initiatives, with employee volunteer programs in communities where PIMCO operates [2]. Employee Retention (1/2): PIMCO has rebuilt organizational stability under CEO Emmanuel Roman since the turbulent Bill Gross departure in 2014, with the firm growing AUM from ~$1.5T to ~$1.9T, suggesting employee confidence and retention, though specific turnover data for the fund management team is not publicly disclosed [2]. Insider Buying (0/2): As a closed-end fund, PTY does not have traditional insider buying dynamics — there are no CEO or executive purchases of fund shares to evaluate as a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PTY's financial profile reflects the unique characteristics of a leveraged closed-end bond fund. D/E of 21.3% is extremely low by CEF standards, reflecting moderate leverage that enhances yield without excessive balance sheet risk [3]. ROE of 11.3% falls below the 15% target, typical for a fixed income vehicle that returns most income to shareholders. Revenue (net investment income plus gains) grew 7.2% YoY to $275M in FY2025, driven by higher interest income of $224M as the fund benefited from elevated yields on corporate bond holdings [1]. Profit margin of 100.4% reflects the CEF structure where nearly all investment income flows through to shareholders. The payout ratio of 121.4% exceeds 100%, indicating the fund is distributing return of capital alongside investment income — common for CEFs but a structural concern for distribution sustainability. The fund has paid distributions continuously for 23 years since 2003 inception, but the distribution rate has been flat to declining since 2013, with no consecutive years of growth [3]. Liquidity floor cleared: 1.3M avg volume x $12.22 = $16.0M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PTY benefits from PIMCO's institutional durability and 50+ year heritage in fixed income investing, but as a closed-end fund with a fixed mandate, it lacks the agency to make bold strategic pivots or demonstrate existential flexibility. The fund is designed to endure and distribute income, which aligns with infinite game thinking in principle, but the execution is mechanical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PIMCO's founding purpose under Bill Gross was to democratize access to institutional-grade fixed income investing, and PTY's structure as a closed-end fund does serve this purpose — providing retail investors access to a diversified, professionally managed corporate bond portfolio with institutional leverage [2]. However, the cause is generic to the asset management industry and has not been distinctively validated through transformative strategic decisions. The fund exists to generate income, not to advance a broader vision of a better future.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has rebuilt a collaborative investment culture under Emmanuel Roman and CIO Dan Ivascyn after the tumultuous Gross era, which was characterized by a dominant single-manager culture [2]. The firm now operates with multiple portfolio management teams and a committee-driven investment process, reflecting greater organizational trust. However, specific employee retention or cultural data for the PTY management team is not publicly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consistently benchmarks its performance against peer closed-end funds from BlackRock, Nuveen, and other managers, and PTY's persistent premium to NAV reflects that investors view PIMCO's active management as superior to alternatives [1]. The firm's competitive posture focuses on delivering better risk-adjusted returns rather than dominating competitors, which aligns with an infinite mindset.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PTY has a fixed investment mandate established at inception — it invests in corporate bonds rated Baa/BBB and Ba/BB. The fund cannot fundamentally reinvent itself, pivot to a new asset class, or abandon its core strategy without shareholder approval and regulatory filings [1]. This rigidity is inherent to the closed-end fund structure. PIMCO as a firm has shown flexibility (expanding from US bonds into global fixed income, alternatives, and equities), but PTY itself has no mechanism for existential flexibility.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demonstrated courage through the Bill Gross departure in 2014, successfully navigating the exit of its founder and largest star manager without catastrophic AUM losses — the firm has since grown AUM to approximately $1.9 trillion [2]. The decision to maintain PTY's distribution rate through multiple credit cycles, including the 2020 COVID dislocation when the fund's NAV dropped to the $7-8 range, showed commitment to long-term income investors over short-term price performance.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PTY offers an attractive 11.7% distribution yield backed by PIMCO's institutional-grade credit research and a 23-year track record of continuous monthly distributions since its 2002 inception [1]. FY2025 net investment income grew 7.2% YoY to $275M as the fund benefited from elevated corporate bond yields, with interest income of $224M reflecting strong positioning in the current rate environment [3]. The fund's moderate leverage (D/E of 21.3%) amplifies returns without excessive risk, and PIMCO's $1.9T AUM platform provides deep credit research resources that individual bond investors cannot replicate. At a trailing P/E of 10.4x, PTY trades at a reasonable valuation for a high-yield bond fund with proven management.</w:t>
      </w:r>
    </w:p>
    <w:p>
      <w:pPr>
        <w:spacing w:after="120"/>
      </w:pPr>
      <w:r>
        <w:rPr>
          <w:rFonts w:ascii="Calibri" w:hAnsi="Calibri"/>
          <w:b w:val="0"/>
          <w:color w:val="3A4A28"/>
          <w:sz w:val="20"/>
        </w:rPr>
        <w:t>The bear case centers on distribution sustainability and structural CEF risks. The 121.4% payout ratio means PTY is distributing more than it earns in net investment income, relying on return of capital and unrealized gains to maintain the $0.119/month distribution [3]. Annual distributions have been flat at $1.428 since 2023 and have declined from $3.40 in 2013, reflecting a long-term erosion in distribution capacity. If interest rates decline meaningfully from current levels, net investment income will compress, potentially forcing a distribution cut that would trigger a sell-off in the premium-priced shares. The fund's concentration in BBB/BB-rated corporate bonds creates credit risk in a recession — the 2022 experience (net loss of -$246M) demonstrates how quickly credit losses can wipe out multiple years of income. As a passive investment vehicle, PTY offers no innovation optionality and limited growth potential beyond the yield it distributes.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interest rate environment supporting net investment income growth and maintaining the $0.119/month distribution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PIMCO's active management capturing spread compression opportunities as speculative-grade default rates decline from 5% (2024) to projected 3.75% (2026) [1]</w:t>
      </w:r>
    </w:p>
    <w:p>
      <w:pPr>
        <w:spacing w:before="40" w:after="40"/>
        <w:ind w:left="283"/>
      </w:pPr>
      <w:r>
        <w:rPr>
          <w:rFonts w:ascii="Calibri" w:hAnsi="Calibri"/>
          <w:b/>
          <w:color w:val="4A6B25"/>
          <w:sz w:val="20"/>
        </w:rPr>
        <w:t xml:space="preserve">3. </w:t>
      </w:r>
      <w:r>
        <w:rPr>
          <w:rFonts w:ascii="Calibri" w:hAnsi="Calibri"/>
          <w:b w:val="0"/>
          <w:color w:val="3A4A28"/>
          <w:sz w:val="20"/>
        </w:rPr>
        <w:t>Potential distribution increase if net investment income continues to outpace current distribution levels, which would likely push the fund's premium to NAV even higher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concern with 121.4% payout ratio — the fund is paying out more than it earns, which is unsustainable long-term without capital gains or return of capital that erodes NAV [3]</w:t>
      </w:r>
    </w:p>
    <w:p>
      <w:pPr>
        <w:spacing w:before="40" w:after="40"/>
        <w:ind w:left="283"/>
      </w:pPr>
      <w:r>
        <w:rPr>
          <w:rFonts w:ascii="Calibri" w:hAnsi="Calibri"/>
          <w:b/>
          <w:color w:val="4A6B25"/>
          <w:sz w:val="20"/>
        </w:rPr>
        <w:t xml:space="preserve">2. </w:t>
      </w:r>
      <w:r>
        <w:rPr>
          <w:rFonts w:ascii="Calibri" w:hAnsi="Calibri"/>
          <w:b w:val="0"/>
          <w:color w:val="3A4A28"/>
          <w:sz w:val="20"/>
        </w:rPr>
        <w:t>Credit cycle risk from BBB/BB corporate bond concentration — a recession could trigger downgrades, defaults, and forced selling that compress NAV, as seen in the -$246M net loss in FY2022 [1]</w:t>
      </w:r>
    </w:p>
    <w:p>
      <w:pPr>
        <w:spacing w:before="40" w:after="40"/>
        <w:ind w:left="283"/>
      </w:pPr>
      <w:r>
        <w:rPr>
          <w:rFonts w:ascii="Calibri" w:hAnsi="Calibri"/>
          <w:b/>
          <w:color w:val="4A6B25"/>
          <w:sz w:val="20"/>
        </w:rPr>
        <w:t xml:space="preserve">3. </w:t>
      </w:r>
      <w:r>
        <w:rPr>
          <w:rFonts w:ascii="Calibri" w:hAnsi="Calibri"/>
          <w:b w:val="0"/>
          <w:color w:val="3A4A28"/>
          <w:sz w:val="20"/>
        </w:rPr>
        <w:t>Interest rate decline risk that would compress net investment income and the fund's ability to maintain its current distribution rate, potentially triggering a premium-to-NAV collapse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PTY is a closed-end bond fund that owns physical fixed income securities — corporate bonds, high-yield debt, and structured credit instruments. AI cannot replace the fundamental value of coupon payments and principal repayment from corporate borrowers [1]. The fund's value proposition is access to PIMCO's institutional-grade credit research and active management at a retail price point, and while AI may eventually improve bond selection and credit analysis, the underlying assets (contractual debt obligations) are structurally immune to AI substitution. The fixed income market's complexity, relationship-driven nature, and regulatory requirements provide additional insulation. The primary AI risk is that AI-powered robo-advisors and passive bond ETFs could compress the premium investors are willing to pay for active CEF management, but this is a gradual competitive pressure rather than an existential threat [2]. AI Opportunity (0/1): PTY does not generate AI-related revenue. PIMCO may use AI internally for portfolio analytics and credit screening, but there is no evidence of quantifiable AI revenue contribution specific to this fund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PIMCO Corporate &amp; Income Opportunity Fund — fund profile, NAV, distribution history; PIMCO official website,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PIMCO firm overview — AUM, leadership, investment philosophy; PIMCO.com, Wikipedia,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PTY — financial metrics, dividend history, volume data,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