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PURR</w:t>
      </w:r>
      <w:r>
        <w:rPr>
          <w:rFonts w:ascii="Calibri" w:hAnsi="Calibri"/>
          <w:b/>
          <w:color w:val="1A2010"/>
          <w:sz w:val="40"/>
        </w:rPr>
        <w:t xml:space="preserve">  Hyperliquid Strategies Inc.</w:t>
      </w:r>
    </w:p>
    <w:p>
      <w:pPr>
        <w:spacing w:after="120"/>
      </w:pPr>
      <w:r>
        <w:rPr>
          <w:rFonts w:ascii="Calibri" w:hAnsi="Calibri"/>
          <w:b/>
          <w:color w:val="6E8450"/>
          <w:sz w:val="18"/>
        </w:rPr>
        <w:t>GROWTH SLEEVE · 2026-04-07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Hyperliquid Strategies is a digital asset treasury company focused on accumulating HYPE, the native token of the Hyperliquid blockchain. The company provides investors exposure to HYPE through treasury management strategies including token accumulation, staking, and yield optimization. Incorporated in 2025 and led by former Barclays CEO Bob Diamond (Chairman) and David Schamis (CEO).</w:t>
      </w:r>
    </w:p>
    <w:p>
      <w:r>
        <w:rPr>
          <w:rFonts w:ascii="Calibri" w:hAnsi="Calibri"/>
          <w:b/>
          <w:color w:val="6E8450"/>
          <w:sz w:val="18"/>
        </w:rPr>
        <w:t>https://www.hypestrat.xyz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Hyperliquid Strategies was incorporated in 2025 and IPO'd in December 2025 — the company has no innovation track record beyond accumulating a single cryptocurrency token [1]. There are no product launches, pivots, or business model transformations. AI Deployment (0/2): No AI products or AI-driven operations; the company's sole activity is holding and staking HYPE tokens [1]. Market Share (0/2): The company is the largest public corporate Hyperliquid holder (1.86% of total HYPE supply) but this is a financial position, not a market leadership position in any operational sense [1]. Pipeline (1/2): Filed a $1B S-1 to expand HYPE treasury holdings, and announced a $30M stock repurchase program, demonstrating planned capital allocation [2]. R&amp;D Intensity (1/1): N/A — there is no R&amp;D as the company has no products or technology to develop. Scored generously at 1 for the financial engineering sophistication of the treasury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Hyperliquid Strategies has no mission, purpose, or vision statement beyond 'maximizing shareholder value through accumulation, staking, and yield optimization of HYPE tokens' [1]. This is purely a financial vehicle with no articulated purpose beyond speculation. Community Impact (0/2): No evidence of charitable giving, community programs, or social impact of any kind. The company has no employees listed and minimal operational footprint. Employee Retention (0/2): No employees or organizational culture to evaluate. Insider Buying (1/2): CEO David Schamis has publicly expressed conviction that HYPE is undervalued relative to Ethereum and Solana, and management's $1B S-1 filing demonstrates belief in the thesis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Hyperliquid Strategies is fundamentally a single-asset treasury vehicle with no traditional operating metrics. The company has no revenue, no earnings history, and no balance sheet in the conventional sense — its entire value proposition is the mark-to-market value of 17.9M HYPE tokens acquired for $129.5M, currently worth ~$692M at an unrealized gain of 434% [1]. Forward P/E of 2.07x is likely based on unrealized cryptocurrency gains rather than operational earnings, making it misleading [4]. Profit margin is 0% as the company generates no operating revenue [4]. D/E, ROE, and revenue growth are all unavailable. The infrastructure score relies almost entirely on the favorable Forward P/E metric, which may not reflect economic reality. Liquidity floor cleared: 4.4M avg volume × $5.05 = $22M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Hyperliquid Strategies is the antithesis of infinite game thinking. The company exists to accumulate a single cryptocurrency token and maximize its price — this is pure finite game play optimized for short-term price appreciation. There is no enduring cause, no product that serves customers, and no organizational capability being built. Simon Sinek would identify this as a textbook example of playing to win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no Just Cause. The company's stated purpose is to 'maximize shareholder value through HYPE token accumulation and yield optimization' [1]. This is a financial arbitrage vehicle, not an organization built around a vision of a better future. CEO Schamis's public case that HYPE is undervalued is a trading thesis, not a cause.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no disclosed employees and a corporate structure designed to hold cryptocurrency, there are no teams to trust or be trusted. The company operates as a financial vehicle managed by Atlas Merchant Capital principals Diamond and Schamis [2].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Schamis explicitly compares HYPE to Bitcoin, Ethereum, and Solana as rivals to outperform, using zero-sum competitive language about market cap and price appreciation [2]. This is finite competition for token price supremacy, not infinite game improvement. (0/1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entire existence is tied to a single token on a single blockchain. There is no evidence of flexibility or willingness to pivot — the $1B S-1 filing doubles down on the same strategy [2]. If HYPE fails, the company has no alternative business model.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a contrarian argument for courage: Diamond and Schamis are betting their reputations (Diamond as former Barclays CEO) on a novel crypto treasury model [2]. Filing a $1B S-1 to expand holdings shows conviction. However, this is speculative conviction, not the kind of principled long-term investment Sinek values.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Hyperliquid Strategies offers leveraged exposure to the HYPE token through a publicly traded vehicle, holding 17.9M HYPE (1.86% of supply) acquired at $7.23 average cost with $562M in unrealized gains as of early 2026 [1]. The underlying Hyperliquid protocol processes ~$10B in daily trading volume with a 70% share of the decentralized perpetual futures market, and CEO Schamis argues HYPE is undervalued relative to its $600M+ annualized fee run rate [2]. The $1B S-1 filing and $30M buyback program signal management's conviction. For investors seeking HYPE exposure through a traditional brokerage account, PURR provides a regulated alternative to direct token ownership.</w:t>
      </w:r>
    </w:p>
    <w:p>
      <w:pPr>
        <w:spacing w:after="120"/>
      </w:pPr>
      <w:r>
        <w:rPr>
          <w:rFonts w:ascii="Calibri" w:hAnsi="Calibri"/>
          <w:b w:val="0"/>
          <w:color w:val="3A4A28"/>
          <w:sz w:val="20"/>
        </w:rPr>
        <w:t>The bear case is overwhelming for a fundamentally-oriented framework like IOWN. PURR has no revenue, no earnings, no products, no employees, and no competitive moat — it is a single-asset holding vehicle with 100% correlation to HYPE token price [1]. The stock trades at a premium to NAV when crypto sentiment is positive and at a discount when negative, offering worse economics than direct token ownership due to management fees and corporate overhead. Cryptocurrency markets are inherently volatile, unregulated, and subject to black swan events (exchange hacks, protocol exploits, regulatory crackdowns). The $1B S-1 creates dilution risk. Seeking Alpha analysts have issued 'Sell' ratings noting the company is 'fading the crypto hype' with no fundamental business to fall back on [1]. For IOWN's Return on Intention framework, a company with no mission beyond token accumulation cannot score well across any dimension.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HYPE token price appreciation — the company's value is entirely driven by HYPE price; protocol growth ($10B daily volume, 70% DEX perps market share) could drive token demand [2]</w:t>
      </w:r>
    </w:p>
    <w:p>
      <w:pPr>
        <w:spacing w:before="40" w:after="40"/>
        <w:ind w:left="283"/>
      </w:pPr>
      <w:r>
        <w:rPr>
          <w:rFonts w:ascii="Calibri" w:hAnsi="Calibri"/>
          <w:b/>
          <w:color w:val="4A6B25"/>
          <w:sz w:val="20"/>
        </w:rPr>
        <w:t xml:space="preserve">2. </w:t>
      </w:r>
      <w:r>
        <w:rPr>
          <w:rFonts w:ascii="Calibri" w:hAnsi="Calibri"/>
          <w:b w:val="0"/>
          <w:color w:val="3A4A28"/>
          <w:sz w:val="20"/>
        </w:rPr>
        <w:t>$1B S-1 offering completion — successful capital raise would dramatically expand HYPE holdings and staking yield, though at the cost of shareholder dilution [2]</w:t>
      </w:r>
    </w:p>
    <w:p>
      <w:pPr>
        <w:spacing w:before="40" w:after="40"/>
        <w:ind w:left="283"/>
      </w:pPr>
      <w:r>
        <w:rPr>
          <w:rFonts w:ascii="Calibri" w:hAnsi="Calibri"/>
          <w:b/>
          <w:color w:val="4A6B25"/>
          <w:sz w:val="20"/>
        </w:rPr>
        <w:t xml:space="preserve">3. </w:t>
      </w:r>
      <w:r>
        <w:rPr>
          <w:rFonts w:ascii="Calibri" w:hAnsi="Calibri"/>
          <w:b w:val="0"/>
          <w:color w:val="3A4A28"/>
          <w:sz w:val="20"/>
        </w:rPr>
        <w:t>Hyperliquid protocol expansion into commodities and equities trading could broaden the ecosystem and increase HYPE utility and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100% concentration risk in a single cryptocurrency token — HYPE price collapse would destroy the company's entire value proposition with no alternative business model [1]</w:t>
      </w:r>
    </w:p>
    <w:p>
      <w:pPr>
        <w:spacing w:before="40" w:after="40"/>
        <w:ind w:left="283"/>
      </w:pPr>
      <w:r>
        <w:rPr>
          <w:rFonts w:ascii="Calibri" w:hAnsi="Calibri"/>
          <w:b/>
          <w:color w:val="4A6B25"/>
          <w:sz w:val="20"/>
        </w:rPr>
        <w:t xml:space="preserve">2. </w:t>
      </w:r>
      <w:r>
        <w:rPr>
          <w:rFonts w:ascii="Calibri" w:hAnsi="Calibri"/>
          <w:b w:val="0"/>
          <w:color w:val="3A4A28"/>
          <w:sz w:val="20"/>
        </w:rPr>
        <w:t>Regulatory crackdown on decentralized finance or cryptocurrency treasury companies could force unwinding of positions or restrict operations [1]</w:t>
      </w:r>
    </w:p>
    <w:p>
      <w:pPr>
        <w:spacing w:before="40" w:after="40"/>
        <w:ind w:left="283"/>
      </w:pPr>
      <w:r>
        <w:rPr>
          <w:rFonts w:ascii="Calibri" w:hAnsi="Calibri"/>
          <w:b/>
          <w:color w:val="4A6B25"/>
          <w:sz w:val="20"/>
        </w:rPr>
        <w:t xml:space="preserve">3. </w:t>
      </w:r>
      <w:r>
        <w:rPr>
          <w:rFonts w:ascii="Calibri" w:hAnsi="Calibri"/>
          <w:b w:val="0"/>
          <w:color w:val="3A4A28"/>
          <w:sz w:val="20"/>
        </w:rPr>
        <w:t>Structural dilution from $1B S-1 offering and potential premium-to-NAV erosion as crypto sentiment normalizes or competitors emerge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Hyperliquid Strategies occupies an unusual position in the AI resilience framework. The company itself has no operations to be disrupted by AI. However, the underlying Hyperliquid protocol — a decentralized perpetual futures exchange processing ~$10B daily — benefits from algorithmic trading and AI-driven market making [2]. The risk is indirect: AI-powered trading bots could destabilize the DEX ecosystem, and AI advances in fraud detection could challenge the unregulated nature of decentralized finance. The company's value is entirely dependent on the HYPE token price, which is subject to cryptocurrency market sentiment, regulatory action, and protocol competition — none of which AI protects against. AI Opportunity (0/1): No AI revenue generated; the company does not develop or deploy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Seeking Alpha, CoinGecko — Hyperliquid Strategies Inc. (PURR) company profile, HYPE holdings of 17.9M tokens worth $692M,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CryptoPotato, The Block, AMBCrypto — Hyperliquid Strategies $1B S-1 filing, CEO David Schamis commentary, $30M buyback program,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PURR,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