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PWP</w:t>
      </w:r>
      <w:r>
        <w:rPr>
          <w:rFonts w:ascii="Calibri" w:hAnsi="Calibri"/>
          <w:b/>
          <w:color w:val="1A2010"/>
          <w:sz w:val="40"/>
        </w:rPr>
        <w:t xml:space="preserve">  Perella Weinberg Partners</w:t>
      </w:r>
    </w:p>
    <w:p>
      <w:pPr>
        <w:spacing w:after="120"/>
      </w:pPr>
      <w:r>
        <w:rPr>
          <w:rFonts w:ascii="Calibri" w:hAnsi="Calibri"/>
          <w:b/>
          <w:color w:val="6E8450"/>
          <w:sz w:val="18"/>
        </w:rPr>
        <w:t>GROWTH SLEEVE · 2026-05-06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Perella Weinberg Partners is an independent advisory firm providing strategic and financial advice services including M&amp;A execution, shareholder engagement, restructuring, liability management, capital markets advisory, and private capital placement across multiple industries globally.</w:t>
      </w:r>
    </w:p>
    <w:p>
      <w:r>
        <w:rPr>
          <w:rFonts w:ascii="Calibri" w:hAnsi="Calibri"/>
          <w:b/>
          <w:color w:val="6E8450"/>
          <w:sz w:val="18"/>
        </w:rPr>
        <w:t>700 Employees · https://pwpartners.com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PWP has a solid track record in independent M&amp;A advisory but lacks the scale of bulge-bracket peers. The firm recently hired Daniel Avrutsky as Partner to bolster its Technology advisory practice with focus on AI and HCM software deals, signaling sector awareness [1]. The Gleacher Shacklock acquisition expands UK and cross-border capabilities, though R&amp;D investment is minimal as a pure advisory firm [2]. Market share remains modest in a fragmented independent advisory landscape.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PWP's mission centers on providing conflict-free independent advice, a credible but not transcendent purpose. Glassdoor ratings of 4.3/5 in New York suggest above-average employee satisfaction, though reviews cite political internal dynamics and long hours typical of investment banking [3]. CEO Andrew Bednar has invested in talent during a cyclical downturn, hiring multiple senior partners and MDs, which signals commitment to the franchise. No notable insider buying patterns beyond standard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Forward P/E of 12.9x is attractive for the advisory sector, reflecting expectations of earnings normalization after a weak Q1. Debt-to-equity of 79.8% is manageable, and the firm maintains $78M cash with no drawn debt [1]. However, Q1 2026 revenue declined 30% YoY to $149M with razor-thin 2.9% profit margin, and ROE of 13.3% sits below the 15% target [2]. Management guided to back-half-weighted revenue recovery supported by a two-year-high announced-and-pending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PWP demonstrates mixed infinite-game characteristics: the firm is investing counter-cyclically in talent and geographic expansion through the Gleacher Shacklock acquisition, but remains vulnerable to the quarterly revenue cycle inherent in deal-based advisory businesses.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PWP's purpose of providing independent, conflict-free advisory is legitimate but not deeply differentiated from peers like Lazard or Evercore. The firm lacks a compelling beyond-profit mission statement that would inspire long-term stakeholder loyalty beyond competitive compensation.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indicate generally positive culture with 4.3/5 rating, but persistent complaints about internal politics and cutthroat partner dynamics undermine the trusting-teams ideal [3]. Senior leadership promotes good culture, though execution varies by group.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PWP clearly acknowledges its competitive position relative to Lazard, Evercore, Moelis, and PJT Partners. The Gleacher Shacklock acquisition and targeted senior hires demonstrate a willingness to learn from rivals' geographic and sector advantages rather than dismiss them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UK expansion via Gleacher Shacklock and investment in technology advisory coverage show willingness to evolve the business model. However, PWP remains fundamentally a traditional M&amp;A advisory firm and has not demonstrated transformative strategic pivots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Bednar has shown courage by investing heavily in talent during a significant cyclical downturn, hiring multiple partners and MDs while Q1 revenue dropped 30% [1]. Returning $64M to shareholders while simultaneously investing in growth reflects balanced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PWP offers compelling forward value with a 12.9x forward P/E that prices in significant earnings recovery from a cyclically depressed Q1. Management's announced-and-pending backlog at a two-year quarterly high provides visibility into H2 2026 revenue acceleration [1]. The Gleacher Shacklock acquisition adds UK cross-border advisory capabilities at a time when European M&amp;A activity is expected to rebound [2]. The firm's independent, conflict-free model positions it well for continued market share gains in strategic advisory, supported by targeted senior hires across technology and financial sponsors coverage.</w:t>
      </w:r>
    </w:p>
    <w:p>
      <w:pPr>
        <w:spacing w:after="120"/>
      </w:pPr>
      <w:r>
        <w:rPr>
          <w:rFonts w:ascii="Calibri" w:hAnsi="Calibri"/>
          <w:b w:val="0"/>
          <w:color w:val="3A4A28"/>
          <w:sz w:val="20"/>
        </w:rPr>
        <w:t>The bear case centers on PWP's extreme cyclicality and execution risk. Q1 2026 revenue declined 30% YoY with EPS of just $0.05, and the 2.9% profit margin shows how quickly earnings evaporate when deal flow slows [1]. The payout ratio of 112% is unsustainable at current earnings levels, and with no PEG ratio available, growth visibility is limited. PWP's small scale (~700 employees) leaves it vulnerable to key-person departures, and the firm's heavy reliance on M&amp;A fee revenue provides no recurring income buffer during prolonged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revenue acceleration driven by two-year-high announced-and-pending backlog converting to closed fees</w:t>
      </w:r>
    </w:p>
    <w:p>
      <w:pPr>
        <w:spacing w:before="40" w:after="40"/>
        <w:ind w:left="283"/>
      </w:pPr>
      <w:r>
        <w:rPr>
          <w:rFonts w:ascii="Calibri" w:hAnsi="Calibri"/>
          <w:b/>
          <w:color w:val="4A6B25"/>
          <w:sz w:val="20"/>
        </w:rPr>
        <w:t xml:space="preserve">2. </w:t>
      </w:r>
      <w:r>
        <w:rPr>
          <w:rFonts w:ascii="Calibri" w:hAnsi="Calibri"/>
          <w:b w:val="0"/>
          <w:color w:val="3A4A28"/>
          <w:sz w:val="20"/>
        </w:rPr>
        <w:t>Gleacher Shacklock integration expanding European cross-border M&amp;A advisory capabilities and revenue diversification</w:t>
      </w:r>
    </w:p>
    <w:p>
      <w:pPr>
        <w:spacing w:before="40" w:after="40"/>
        <w:ind w:left="283"/>
      </w:pPr>
      <w:r>
        <w:rPr>
          <w:rFonts w:ascii="Calibri" w:hAnsi="Calibri"/>
          <w:b/>
          <w:color w:val="4A6B25"/>
          <w:sz w:val="20"/>
        </w:rPr>
        <w:t xml:space="preserve">3. </w:t>
      </w:r>
      <w:r>
        <w:rPr>
          <w:rFonts w:ascii="Calibri" w:hAnsi="Calibri"/>
          <w:b w:val="0"/>
          <w:color w:val="3A4A28"/>
          <w:sz w:val="20"/>
        </w:rPr>
        <w:t>Multiple senior partner hires in technology and AI advisory positioning PWP for growing tech M&amp;A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M&amp;A market slowdown due to geopolitical uncertainty or recession could further compress already thin margins</w:t>
      </w:r>
    </w:p>
    <w:p>
      <w:pPr>
        <w:spacing w:before="40" w:after="40"/>
        <w:ind w:left="283"/>
      </w:pPr>
      <w:r>
        <w:rPr>
          <w:rFonts w:ascii="Calibri" w:hAnsi="Calibri"/>
          <w:b/>
          <w:color w:val="4A6B25"/>
          <w:sz w:val="20"/>
        </w:rPr>
        <w:t xml:space="preserve">2. </w:t>
      </w:r>
      <w:r>
        <w:rPr>
          <w:rFonts w:ascii="Calibri" w:hAnsi="Calibri"/>
          <w:b w:val="0"/>
          <w:color w:val="3A4A28"/>
          <w:sz w:val="20"/>
        </w:rPr>
        <w:t>Key-person risk with a 700-employee firm where senior banker departures can significantly impact revenue</w:t>
      </w:r>
    </w:p>
    <w:p>
      <w:pPr>
        <w:spacing w:before="40" w:after="40"/>
        <w:ind w:left="283"/>
      </w:pPr>
      <w:r>
        <w:rPr>
          <w:rFonts w:ascii="Calibri" w:hAnsi="Calibri"/>
          <w:b/>
          <w:color w:val="4A6B25"/>
          <w:sz w:val="20"/>
        </w:rPr>
        <w:t xml:space="preserve">3. </w:t>
      </w:r>
      <w:r>
        <w:rPr>
          <w:rFonts w:ascii="Calibri" w:hAnsi="Calibri"/>
          <w:b w:val="0"/>
          <w:color w:val="3A4A28"/>
          <w:sz w:val="20"/>
        </w:rPr>
        <w:t>Unsustainable 112% payout ratio at current depressed earnings could force dividend reduction if recovery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Advisory banking relies heavily on human relationships, judgment, and deal negotiation, making it moderately resistant to AI displacement. AI tools can enhance efficiency in financial modeling, due diligence, and market analysis, but cannot replace the trust-based senior banker-client relationships that drive fee generation [3]. PWP's recent AI-focused technology hire suggests awareness of AI as both a sector coverage opportunity and internal productivity tool [4]. Risk remains moderate as AI could compress fees on commoditized advisory work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Perella Weinberg Partners Q1 2026 Earnings Release,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Perella Weinberg Q1 2026 Investor Presentation — UK expansion and talent investments,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Perella Weinberg Partners,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SahmCapital — PWP AI Advisory Hire Analysis,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PWP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