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PWR</w:t>
      </w:r>
      <w:r>
        <w:rPr>
          <w:rFonts w:ascii="Calibri" w:hAnsi="Calibri"/>
          <w:b/>
          <w:color w:val="1A2010"/>
          <w:sz w:val="40"/>
        </w:rPr>
        <w:t xml:space="preserve">  Quanta Services, Inc.</w:t>
      </w:r>
    </w:p>
    <w:p>
      <w:pPr>
        <w:spacing w:after="120"/>
      </w:pPr>
      <w:r>
        <w:rPr>
          <w:rFonts w:ascii="Calibri" w:hAnsi="Calibri"/>
          <w:b/>
          <w:color w:val="6E8450"/>
          <w:sz w:val="18"/>
        </w:rPr>
        <w:t>GROWTH SLEEVE · 2026-05-04 · Inspire: 51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Engineering &amp; Construction · NYSE · United States</w:t>
      </w:r>
    </w:p>
    <w:p>
      <w:pPr>
        <w:spacing w:after="80"/>
      </w:pPr>
      <w:r>
        <w:rPr>
          <w:rFonts w:ascii="Calibri" w:hAnsi="Calibri"/>
          <w:b w:val="0"/>
          <w:color w:val="3A4A28"/>
          <w:sz w:val="20"/>
        </w:rPr>
        <w:t>Quanta Services is the largest specialty infrastructure services company in North America, providing engineering, procurement, construction, and maintenance services for electric power transmission and distribution, renewable energy, underground utilities, pipeline infrastructure, and data center/hyperscale facilities. The company serves utilities, energy companies, and technology hyperscalers through its Electric Infrastructure Solutions and Underground Utility and Infrastructure Solutions segments.</w:t>
      </w:r>
    </w:p>
    <w:p>
      <w:r>
        <w:rPr>
          <w:rFonts w:ascii="Calibri" w:hAnsi="Calibri"/>
          <w:b/>
          <w:color w:val="6E8450"/>
          <w:sz w:val="18"/>
        </w:rPr>
        <w:t>69,500 Employees · https://www.quantaservices.com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Quanta has transformed from a regional electrical contractor into a $30B+ infrastructure services platform through strategic acquisitions (Cupertino Electric for data center/hyperscale, Blattner Energy for renewables) and organic growth, delivering 26.3% revenue growth YoY in Q1 2026 to $7.87B [1]. The Cupertino Electric acquisition positioned Quanta as the premier hyperscale data center electrical contractor, with crews executing on massive AI-driven data center projects including a 268,500 sq ft EdgeCore facility [2]. AI Deployment (1/2): Quanta deploys AI/automation in project planning, drone-based infrastructure inspection, and workforce management, though these are operational efficiencies rather than AI products sold to customers [2]. Market Share (2/2): Quanta is the undisputed leader in specialty infrastructure services with record backlog of $48.5B and a 1.6x book-to-bill ratio in Q1 2026, indicating accelerating market share gains as utilities and hyperscalers consolidate spending with the largest and most capable contractors [1]. Pipeline (1/2): $48.5B backlog provides exceptional revenue visibility across transmission, power distribution, load-related work, and data centers, with raised FY2026 guidance of $34.7B-$35.2B in revenue [1]. R&amp;D Intensity (1/1): The company invests in proprietary construction technologies, safety systems, and has a formal CEO Innovation Award program to drive internal innovation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Quanta's mission centers on powering and connecting communities through infrastructure services — clear and relevant given the energy transition and AI infrastructure buildout, but more operational than aspirational [3]. The focus on safety, sustainability, and community is genuine but not transformatively distinctive. Community Impact (2/2): Quanta employs 69,500 workers across North America, many in skilled trades (IBEW union members), directly building critical infrastructure — transmission lines, renewable energy facilities, data centers — that powers communities. The company is a major supporter of skilled trades workforce development [2][3]. Employee Retention (1/2): Duke Austin's leadership has been recognized by Fortune as one of the World's Best CEOs, and the company emphasizes safety culture (essential in construction), though specific retention metrics are not publicly disclosed [2]. Insider Buying (1/2): No evidence of significant recent insider buying beyond standard executive compensation; however, leadership continuity and the executive team's long tenure signal alignment with the company's direction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Quanta delivered exceptional top-line growth with Q1 2026 revenue of $7.87B (26.3% YoY growth) and raised FY2026 guidance to $34.7B-$35.2B, implying continued double-digit growth from a massive revenue base [1]. D/E of 69.1% is right at the target threshold with manageable leverage for a capital-intensive infrastructure business [5]. ROE of 13.5% is solid but just below the 15% target, and GAAP profit margin of 3.7% reflects the thin-margin construction services model — though adjusted EBITDA margin of approximately 10% is more representative of economics [1][5]. Forward P/E of 46.0x is elevated, reflecting the market's premium valuation for the AI/energy infrastructure buildout story, and PEG of 2.43 is above target [5]. The 5-year revenue CAGR of approximately 20% (from ~$12B to $30B+) is exceptional and driven by both organic growth and accretive M&amp;A. Liquidity is robust at $830M daily traded value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Quanta Services under Duke Austin plays a long game by investing in workforce development, capability expansion through strategic acquisitions, and positioning for multi-decade infrastructure megatrends — the energy transition, grid modernization, and AI data center buildout. The company's transformation from a regional contractor to the largest specialty infrastructure services company reflects genuine existential flexibility, though the competitive language sometimes tilts toward market dominance rather than Sinek's infinite mindset.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Quanta's purpose — powering and connecting communities through critical infrastructure — is genuine and increasingly validated by the energy transition and AI infrastructure supercycle. The company's work building transmission lines, renewable energy facilities, and data centers directly enables societal progress [1][3]. However, the cause hasn't been tested through crisis in the same way as multi-decade purpose-driven companies, and strategic decisions are primarily growth-and-returns driven rather than explicitly cause-driven.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Quanta employs 69,500 workers, many in IBEW union roles with strong labor traditions and safety culture — the construction industry's emphasis on crew safety creates natural trust bonds [2][3]. Duke Austin's Fortune 'Best CEO' recognition and the company's investment in skilled trades training suggest leadership commitment to the workforce. However, the acquisition-heavy growth model means cultural integration across dozens of acquired companies is an ongoing challenge, and specific retention/turnover data is not disclosed.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Quanta operates in an industry with worthy rivals like MasTec, EMCOR, and MYR Group, and the company's acquisition strategy (buying Cupertino Electric, Blattner Energy) reflects learning from competitors' capabilities and adding them to the platform rather than seeking to destroy rivals [1][2]. Management commentary focuses on expanding capabilities and serving customers better rather than crushing competition.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Quanta has meaningfully evolved from a regional electrical contractor (Fabal Construction, founded 1997) into a $30B+ diversified infrastructure platform, adding renewable energy (Blattner), data center construction (Cupertino Electric), and underground utilities through transformative acquisitions [1][2]. Each pivot expanded the company's addressable market and positioned it for new megatrends. The shifts were strategic and accretive, though incremental (adjacent markets) rather than truly transformative departures from the core contracting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Duke Austin made the bold decision to acquire Cupertino Electric and Blattner Energy — large, transformative acquisitions that expanded Quanta into hyperscale data centers and renewable energy before these markets reached peak demand [1][2]. Taking on significant debt and integration risk to build long-term capabilities demonstrates willingness to invest for the future. However, these bets aligned with obvious secular tailwinds rather than requiring sacrifice against consensus.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Quanta Services is the dominant infrastructure contractor riding a multi-decade supercycle driven by three converging megatrends: AI data center buildout, grid modernization, and the energy transition [1]. Q1 2026 revenue of $7.87B (26.3% YoY growth) and record backlog of $48.5B with a 1.6x book-to-bill ratio provide exceptional forward visibility, and raised FY2026 guidance of $34.7B-$35.2B implies continued double-digit growth [1]. The Cupertino Electric acquisition positions Quanta as the go-to contractor for hyperscaler electrical infrastructure, while Blattner provides renewable energy construction capabilities. With 69,500 skilled workers, Quanta owns the scarcest resource in the infrastructure buildout — trained labor — creating a durable competitive moat. D/E of 69% is manageable, and adjusted EBITDA margins are trending toward double digits [1][5].</w:t>
      </w:r>
    </w:p>
    <w:p>
      <w:pPr>
        <w:spacing w:after="120"/>
      </w:pPr>
      <w:r>
        <w:rPr>
          <w:rFonts w:ascii="Calibri" w:hAnsi="Calibri"/>
          <w:b w:val="0"/>
          <w:color w:val="3A4A28"/>
          <w:sz w:val="20"/>
        </w:rPr>
        <w:t>The bear case centers on valuation and execution risk. At 46x forward P/E and a PEG of 2.43, Quanta is priced for flawless execution on a multi-year growth story that leaves no room for disappointment [5]. GAAP profit margin of 3.7% highlights the thin-margin reality of construction services, where project cost overruns, weather delays, or labor disputes can quickly compress earnings. The $6.3B debt load (vs. $365M cash) funded transformative acquisitions but creates leverage risk if the infrastructure buildout slows [5]. Concentration risk exists if hyperscaler capex spending decelerates — a single delayed data center project could impact quarterly results. The construction industry is cyclical, and while current tailwinds are structural, a recession or policy shift (reduced clean energy subsidies) could compress demand. Integration risk across numerous acquired companies (Cupertino, Blattner, and many others) is ongoing, and maintaining culture and safety standards across 69,500 workers is operationally challenging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$48.5B backlog with 1.6x book-to-bill ratio provides multi-year revenue visibility as hyperscalers accelerate AI data center construction and utilities modernize the grid [1]</w:t>
      </w:r>
    </w:p>
    <w:p>
      <w:pPr>
        <w:spacing w:before="40" w:after="40"/>
        <w:ind w:left="283"/>
      </w:pPr>
      <w:r>
        <w:rPr>
          <w:rFonts w:ascii="Calibri" w:hAnsi="Calibri"/>
          <w:b/>
          <w:color w:val="4A6B25"/>
          <w:sz w:val="20"/>
        </w:rPr>
        <w:t xml:space="preserve">2. </w:t>
      </w:r>
      <w:r>
        <w:rPr>
          <w:rFonts w:ascii="Calibri" w:hAnsi="Calibri"/>
          <w:b w:val="0"/>
          <w:color w:val="3A4A28"/>
          <w:sz w:val="20"/>
        </w:rPr>
        <w:t>Raised FY2026 guidance to $34.7B-$35.2B revenue and $13.55-$14.25 adjusted EPS signals management confidence in sustained double-digit growth trajectory [1]</w:t>
      </w:r>
    </w:p>
    <w:p>
      <w:pPr>
        <w:spacing w:before="40" w:after="40"/>
        <w:ind w:left="283"/>
      </w:pPr>
      <w:r>
        <w:rPr>
          <w:rFonts w:ascii="Calibri" w:hAnsi="Calibri"/>
          <w:b/>
          <w:color w:val="4A6B25"/>
          <w:sz w:val="20"/>
        </w:rPr>
        <w:t xml:space="preserve">3. </w:t>
      </w:r>
      <w:r>
        <w:rPr>
          <w:rFonts w:ascii="Calibri" w:hAnsi="Calibri"/>
          <w:b w:val="0"/>
          <w:color w:val="3A4A28"/>
          <w:sz w:val="20"/>
        </w:rPr>
        <w:t>Margin expansion toward double-digit EBITDA margins in the Underground and Infrastructure segment as the revenue mix shifts toward higher-value hyperscale and transmission projects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Premium valuation at 46x forward P/E and 2.43 PEG leaves no margin for error — any deceleration in hyperscaler capex or grid modernization spending could trigger significant multiple compression [5]</w:t>
      </w:r>
    </w:p>
    <w:p>
      <w:pPr>
        <w:spacing w:before="40" w:after="40"/>
        <w:ind w:left="283"/>
      </w:pPr>
      <w:r>
        <w:rPr>
          <w:rFonts w:ascii="Calibri" w:hAnsi="Calibri"/>
          <w:b/>
          <w:color w:val="4A6B25"/>
          <w:sz w:val="20"/>
        </w:rPr>
        <w:t xml:space="preserve">2. </w:t>
      </w:r>
      <w:r>
        <w:rPr>
          <w:rFonts w:ascii="Calibri" w:hAnsi="Calibri"/>
          <w:b w:val="0"/>
          <w:color w:val="3A4A28"/>
          <w:sz w:val="20"/>
        </w:rPr>
        <w:t>Thin GAAP profit margin of 3.7% exposes earnings to project cost overruns, weather delays, labor cost inflation, and the inherent execution risk of managing 69,500 workers across thousands of simultaneous construction projects [1][5]</w:t>
      </w:r>
    </w:p>
    <w:p>
      <w:pPr>
        <w:spacing w:before="40" w:after="40"/>
        <w:ind w:left="283"/>
      </w:pPr>
      <w:r>
        <w:rPr>
          <w:rFonts w:ascii="Calibri" w:hAnsi="Calibri"/>
          <w:b/>
          <w:color w:val="4A6B25"/>
          <w:sz w:val="20"/>
        </w:rPr>
        <w:t xml:space="preserve">3. </w:t>
      </w:r>
      <w:r>
        <w:rPr>
          <w:rFonts w:ascii="Calibri" w:hAnsi="Calibri"/>
          <w:b w:val="0"/>
          <w:color w:val="3A4A28"/>
          <w:sz w:val="20"/>
        </w:rPr>
        <w:t>Policy and regulatory risk — reduced clean energy subsidies (IRA rollback), permitting delays for transmission projects, or shifting government priorities could slow the infrastructure buildout that underpins the growth thesis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Quanta Services is immune to AI disruption — in fact, AI is a massive demand driver. Every AI data center requires physical electrical infrastructure, power transmission upgrades, and cooling systems that can only be built by skilled trades workers on the ground [1][2]. The $48.5B record backlog is substantially driven by hyperscaler data center buildout (Cupertino Electric) and grid modernization to support the electricity demands of AI computing. AI cannot replace linemen climbing transmission towers, electricians wiring data centers, or pipeline crews installing underground utilities. The energy transition and AI infrastructure boom create a structural demand supercycle for Quanta's services — analysts project multi-year visibility with no substitution risk [1]. AI Opportunity (1/1): Through Cupertino Electric and broader hyperscale services, Quanta directly generates revenue from AI infrastructure construction, making it a primary beneficiary of the AI buildout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Quanta Services Q1 2026 Earnings Release — $7.87B revenue, $48.5B record backlog, raised FY2026 guidance, April 30, 2026</w:t>
      </w:r>
    </w:p>
    <w:p>
      <w:pPr>
        <w:spacing w:before="20" w:after="20"/>
        <w:ind w:left="170"/>
      </w:pPr>
      <w:r>
        <w:rPr>
          <w:rFonts w:ascii="Calibri" w:hAnsi="Calibri"/>
          <w:b/>
          <w:color w:val="4A6B25"/>
          <w:sz w:val="15"/>
        </w:rPr>
        <w:t xml:space="preserve">2. </w:t>
      </w:r>
      <w:r>
        <w:rPr>
          <w:rFonts w:ascii="Calibri" w:hAnsi="Calibri"/>
          <w:b w:val="0"/>
          <w:color w:val="3A4A28"/>
          <w:sz w:val="17"/>
        </w:rPr>
        <w:t>Quanta Services leadership, AI infrastructure positioning, Cupertino Electric data center work, CEO Innovation Award program</w:t>
      </w:r>
    </w:p>
    <w:p>
      <w:pPr>
        <w:spacing w:before="20" w:after="20"/>
        <w:ind w:left="170"/>
      </w:pPr>
      <w:r>
        <w:rPr>
          <w:rFonts w:ascii="Calibri" w:hAnsi="Calibri"/>
          <w:b/>
          <w:color w:val="4A6B25"/>
          <w:sz w:val="15"/>
        </w:rPr>
        <w:t xml:space="preserve">3. </w:t>
      </w:r>
      <w:r>
        <w:rPr>
          <w:rFonts w:ascii="Calibri" w:hAnsi="Calibri"/>
          <w:b w:val="0"/>
          <w:color w:val="3A4A28"/>
          <w:sz w:val="17"/>
        </w:rPr>
        <w:t>Quanta Services corporate website — mission, sustainability, safety culture, workforce development</w:t>
      </w:r>
    </w:p>
    <w:p>
      <w:pPr>
        <w:spacing w:before="20" w:after="20"/>
        <w:ind w:left="170"/>
      </w:pPr>
      <w:r>
        <w:rPr>
          <w:rFonts w:ascii="Calibri" w:hAnsi="Calibri"/>
          <w:b/>
          <w:color w:val="4A6B25"/>
          <w:sz w:val="15"/>
        </w:rPr>
        <w:t xml:space="preserve">4. </w:t>
      </w:r>
      <w:r>
        <w:rPr>
          <w:rFonts w:ascii="Calibri" w:hAnsi="Calibri"/>
          <w:b w:val="0"/>
          <w:color w:val="3A4A28"/>
          <w:sz w:val="17"/>
        </w:rPr>
        <w:t>Quanta Services 2024 ESG/Sustainability Report — safety metrics, environmental targets, governance</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PWR (Quanta Services), retrieved May 4,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