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QCLS</w:t>
      </w:r>
      <w:r>
        <w:rPr>
          <w:rFonts w:ascii="Calibri" w:hAnsi="Calibri"/>
          <w:b/>
          <w:color w:val="1A2010"/>
          <w:sz w:val="40"/>
        </w:rPr>
        <w:t xml:space="preserve">  Q/C Technologies, Inc.</w:t>
      </w:r>
    </w:p>
    <w:p>
      <w:pPr>
        <w:spacing w:after="120"/>
      </w:pPr>
      <w:r>
        <w:rPr>
          <w:rFonts w:ascii="Calibri" w:hAnsi="Calibri"/>
          <w:b/>
          <w:color w:val="6E8450"/>
          <w:sz w:val="18"/>
        </w:rPr>
        <w:t>GROWTH SLEEVE · 2026-05-01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NASDAQ · United States</w:t>
      </w:r>
    </w:p>
    <w:p>
      <w:pPr>
        <w:spacing w:after="80"/>
      </w:pPr>
      <w:r>
        <w:rPr>
          <w:rFonts w:ascii="Calibri" w:hAnsi="Calibri"/>
          <w:b w:val="0"/>
          <w:color w:val="3A4A28"/>
          <w:sz w:val="20"/>
        </w:rPr>
        <w:t>Q/C Technologies, formerly TNF Pharmaceuticals, is a micro-cap company that has pivoted from clinical-stage pharmaceuticals to developing silicon photonic computing architecture for AI inference and blockchain applications. The company also retains early-stage pharmaceutical programs including Isomyosamine for autoimmune diseases and Supera-CBD for epilepsy and pain. Martin Shkreli serves as a strategic advisor.</w:t>
      </w:r>
    </w:p>
    <w:p>
      <w:r>
        <w:rPr>
          <w:rFonts w:ascii="Calibri" w:hAnsi="Calibri"/>
          <w:b/>
          <w:color w:val="6E8450"/>
          <w:sz w:val="18"/>
        </w:rPr>
        <w:t>2 Employees · https://www.qctechnologies.com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(0/3): Q/C Technologies has undergone two name changes (TNF Pharmaceuticals to Q/C Technologies in September 2025) and serial strategic pivots from pharmaceuticals to photonic computing to blockchain infrastructure without successfully launching or commercializing any product in any category [2]. AI Deployment (0/2): The company announced an optical processing unit (OPU) initiative for AI inference in March 2026, claiming photonic matrix multiplication that reduces energy use versus electronic GPUs, but this remains a prototype target with no shipping product or quantified results [1]. Market Share (0/2): Zero market share in any product category — the company has no revenue, no commercial products, and competes against established players in every claimed market. Pipeline (0/2): Claims of qc-LPU100 laser processing units with '100x faster than GPUs' remain unvalidated by independent benchmarks or peer-reviewed research, and the pharmaceutical pipeline (Isomyosamine, Supera-CBD) shows no recent clinical progress [1][2]. R&amp;D Intensity (0/1): With only 2 full-time employees and no reported R&amp;D spending data, the company lacks the capacity for meaningful research and development activity.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Q/C Technologies has no articulated mission, purpose, or vision statement beyond marketing claims about 'quantum-class photonic computing.' The serial pivots between pharmaceuticals, photonic computing, and blockchain infrastructure suggest the company exists to capitalize on trending themes rather than to advance any enduring purpose. Community Impact (0/2): No evidence of charitable programs, community investment, or social impact initiatives. Employee Retention (0/2): The company has only 2 full-time employees, making retention metrics meaningless. Insider Buying (0/2): No evidence of meaningful insider buying; executive compensation includes $675,220 for Executive Chairman Joshua Silverman and $392,128 for CMO Mitchell Glass despite zero revenue generation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Q/C Technologies has a $29.5M market cap with zero revenue, zero profit margin, and -58.95% ROE [3]. The company reported a net loss of $5.73M for the nine months ended September 2025 and a TTM net loss of $11.6M [2]. Cash of $15.8M with no debt provides roughly 2 years of runway at the current ~$6.9M annual burn rate, but there is no revenue trajectory to evaluate. Forward P/E and PEG ratio are unavailable as the company has no earnings or earnings estimates. The 38-analyst consensus rating is 'Strong Sell' [2]. Daily dollar volume of approximately $2.2M barely exceeds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Q/C Technologies exemplifies finite game thinking — the company has serial-pivoted from pharmaceuticals to photonic computing to blockchain, chasing whichever sector is trending. The addition of Martin Shkreli as a strategic advisor signals prioritization of hype over substance. With 2 employees, no revenue, no articulated purpose, and executive compensation far exceeding the company's productive output, this is an organization playing to exploit near-term market enthusiasm rather than to build something enduring.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The company's serial renaming (TNF Pharmaceuticals → Q/C Technologies) and strategic pivots (pharma → photonic computing → blockchain) demonstrate a pattern of following market trends rather than advancing an enduring vision. There is no articulated purpose beyond vague technology claims, and strategic decisions are clearly driven by investor narrative rather than mission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2 full-time employees, the concept of trusting teams is largely inapplicable. The organizational structure appears to be a shell with executives and advisors rather than a functional team. The addition of Martin Shkreli — convicted of securities fraud — as a strategic advisor raises serious governance and trust concerns [2]. Executive compensation of over $1M combined for a zero-revenue company further undermines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The company's marketing claims of '100x faster than GPUs' and 'quantum-class' performance represent a finite competitive mindset focused on superlatives rather than genuine competitive learning. No evidence of acknowledging or learning from established photonic computing players, GPU manufacturers (NVIDIA), or pharmaceutical competitors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While Q/C Technologies has pivoted multiple times, these shifts — from pharmaceuticals to photonic computing to blockchain — appear driven by trend-chasing rather than strategic conviction in service of a just cause. Sinek would distinguish between flexibility in service of purpose (infinite) and reactive pivoting in pursuit of the next hot market (finite). This is the latter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or principled decision-making. Executive compensation exceeding $1M annually for a 2-person, zero-revenue company suggests leadership prioritizes personal financial extraction over building long-term value. The Shkreli advisory appointment signals willingness to court controversy for attention rather than making difficult choices that serve stakeholders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Q/C Technologies offers speculative exposure to photonic computing for AI inference, with a prototype OPU initiative targeting energy-efficient alternatives to electronic GPUs [1]. The company's $15.8M cash position and zero debt provide modest runway, and the $29.5M market cap means any validated technology breakthrough would produce outsized returns. The licensing agreement with LightSolver for laser-based processing units provides some technology foundation.</w:t>
      </w:r>
    </w:p>
    <w:p>
      <w:pPr>
        <w:spacing w:after="120"/>
      </w:pPr>
      <w:r>
        <w:rPr>
          <w:rFonts w:ascii="Calibri" w:hAnsi="Calibri"/>
          <w:b w:val="0"/>
          <w:color w:val="3A4A28"/>
          <w:sz w:val="20"/>
        </w:rPr>
        <w:t>The bear case is overwhelming: Q/C Technologies is a 2-employee shell company with zero revenue, -$11.6M TTM net loss, and serial strategic pivots that have produced no commercial products across any category [2]. The photonic computing claims of '100x faster than GPUs' are unvalidated by independent benchmarks, and the company lacks the engineering talent, capital, and manufacturing capability to compete in AI hardware against NVIDIA, Intel, and funded startups. The 38-analyst 'Strong Sell' consensus, Martin Shkreli's advisory role, executive compensation exceeding $1M for zero revenue, and $29.5M market cap all point to a speculative vehicle with minimal intrinsic value. The pharmaceutical pipeline appears dormant with no recent clinical updates.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OPU prototype completion targeted for 2026, which if independently validated could demonstrate photonic AI inference viability [1]</w:t>
      </w:r>
    </w:p>
    <w:p>
      <w:pPr>
        <w:spacing w:before="40" w:after="40"/>
        <w:ind w:left="283"/>
      </w:pPr>
      <w:r>
        <w:rPr>
          <w:rFonts w:ascii="Calibri" w:hAnsi="Calibri"/>
          <w:b/>
          <w:color w:val="4A6B25"/>
          <w:sz w:val="20"/>
        </w:rPr>
        <w:t xml:space="preserve">2. </w:t>
      </w:r>
      <w:r>
        <w:rPr>
          <w:rFonts w:ascii="Calibri" w:hAnsi="Calibri"/>
          <w:b w:val="0"/>
          <w:color w:val="3A4A28"/>
          <w:sz w:val="20"/>
        </w:rPr>
        <w:t>Any pharmaceutical pipeline reactivation — Isomyosamine clinical data or Supera-CBD regulatory progress could provide alternative value path</w:t>
      </w:r>
    </w:p>
    <w:p>
      <w:pPr>
        <w:spacing w:before="40" w:after="40"/>
        <w:ind w:left="283"/>
      </w:pPr>
      <w:r>
        <w:rPr>
          <w:rFonts w:ascii="Calibri" w:hAnsi="Calibri"/>
          <w:b/>
          <w:color w:val="4A6B25"/>
          <w:sz w:val="20"/>
        </w:rPr>
        <w:t xml:space="preserve">3. </w:t>
      </w:r>
      <w:r>
        <w:rPr>
          <w:rFonts w:ascii="Calibri" w:hAnsi="Calibri"/>
          <w:b w:val="0"/>
          <w:color w:val="3A4A28"/>
          <w:sz w:val="20"/>
        </w:rPr>
        <w:t>Potential partnership or acquisition interest if photonic computing technology demonstrates genuine performance advantages over electronic GPUs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Zero revenue with $6.9M annual cash burn and only $15.8M cash could force dilutive capital raises within 2 years, further eroding shareholder value</w:t>
      </w:r>
    </w:p>
    <w:p>
      <w:pPr>
        <w:spacing w:before="40" w:after="40"/>
        <w:ind w:left="283"/>
      </w:pPr>
      <w:r>
        <w:rPr>
          <w:rFonts w:ascii="Calibri" w:hAnsi="Calibri"/>
          <w:b/>
          <w:color w:val="4A6B25"/>
          <w:sz w:val="20"/>
        </w:rPr>
        <w:t xml:space="preserve">2. </w:t>
      </w:r>
      <w:r>
        <w:rPr>
          <w:rFonts w:ascii="Calibri" w:hAnsi="Calibri"/>
          <w:b w:val="0"/>
          <w:color w:val="3A4A28"/>
          <w:sz w:val="20"/>
        </w:rPr>
        <w:t>Unvalidated technology claims: '100x faster than GPUs' photonic computing assertions lack independent benchmarks, peer review, or customer validation [1]</w:t>
      </w:r>
    </w:p>
    <w:p>
      <w:pPr>
        <w:spacing w:before="40" w:after="40"/>
        <w:ind w:left="283"/>
      </w:pPr>
      <w:r>
        <w:rPr>
          <w:rFonts w:ascii="Calibri" w:hAnsi="Calibri"/>
          <w:b/>
          <w:color w:val="4A6B25"/>
          <w:sz w:val="20"/>
        </w:rPr>
        <w:t xml:space="preserve">3. </w:t>
      </w:r>
      <w:r>
        <w:rPr>
          <w:rFonts w:ascii="Calibri" w:hAnsi="Calibri"/>
          <w:b w:val="0"/>
          <w:color w:val="3A4A28"/>
          <w:sz w:val="20"/>
        </w:rPr>
        <w:t>Governance concerns: Martin Shkreli (convicted of securities fraud) as strategic advisor, $1M+ executive compensation for 2-employee zero-revenue company, and serial strategic pivots signal speculative shell company risk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 EXPOSED): Q/C Technologies claims to be developing photonic AI inference hardware (OPU), positioning itself within the AI infrastructure space, but the company has no validated product, no revenue, and no demonstrated technology advantage [1]. The pharmaceutical side (Isomyosamine, Supera-CBD) faces standard drug development risks but the programs appear dormant. The company's lack of any established business model means it has no moat against AI disruption — or disruption from any other source. The 'quantum-class' computing claims remain unsubstantiated by independent testing or peer review. AI Opportunity (0/1): Zero AI-generated revenue. The OPU initiative is in prototype stage with no products shipping or customers identified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StockTitan — Q/C Technologies launches OPU initiative for AI inference, March 2026</w:t>
      </w:r>
    </w:p>
    <w:p>
      <w:pPr>
        <w:spacing w:before="20" w:after="20"/>
        <w:ind w:left="170"/>
      </w:pPr>
      <w:r>
        <w:rPr>
          <w:rFonts w:ascii="Calibri" w:hAnsi="Calibri"/>
          <w:b/>
          <w:color w:val="4A6B25"/>
          <w:sz w:val="15"/>
        </w:rPr>
        <w:t xml:space="preserve">2. </w:t>
      </w:r>
      <w:r>
        <w:rPr>
          <w:rFonts w:ascii="Calibri" w:hAnsi="Calibri"/>
          <w:b w:val="0"/>
          <w:color w:val="3A4A28"/>
          <w:sz w:val="17"/>
        </w:rPr>
        <w:t>StockTitan, CNBC, StockAnalysis — QCLS financial data, TTM net loss $11.6M, 38-analyst Strong Sell consensus,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QCLS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