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QFIN</w:t>
      </w:r>
      <w:r>
        <w:rPr>
          <w:rFonts w:ascii="Calibri" w:hAnsi="Calibri"/>
          <w:b/>
          <w:color w:val="1A2010"/>
          <w:sz w:val="40"/>
        </w:rPr>
        <w:t xml:space="preserve">  Qfin Holdings, Inc.</w:t>
      </w:r>
    </w:p>
    <w:p>
      <w:pPr>
        <w:spacing w:after="120"/>
      </w:pPr>
      <w:r>
        <w:rPr>
          <w:rFonts w:ascii="Calibri" w:hAnsi="Calibri"/>
          <w:b/>
          <w:color w:val="6E8450"/>
          <w:sz w:val="18"/>
        </w:rPr>
        <w:t>DIVIDEND SLEEVE · 2026-04-23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China</w:t>
      </w:r>
    </w:p>
    <w:p>
      <w:pPr>
        <w:spacing w:after="80"/>
      </w:pPr>
      <w:r>
        <w:rPr>
          <w:rFonts w:ascii="Calibri" w:hAnsi="Calibri"/>
          <w:b w:val="0"/>
          <w:color w:val="3A4A28"/>
          <w:sz w:val="20"/>
        </w:rPr>
        <w:t>Qfin Holdings (formerly Qifu Technology / 360 Finance) operates an AI-driven credit-tech platform under the Qifu Jietiao brand in China, matching borrowers with financial institution partners for consumer and SME lending. The company provides credit assessment, fund matching, loan facilitation, and post-facilitation services. Qfin is dual-listed on NASDAQ and HKEX (3660) and uses its proprietary TRIDENT multimodal LLM for credit scoring, fraud detection, and customer service.</w:t>
      </w:r>
    </w:p>
    <w:p>
      <w:r>
        <w:rPr>
          <w:rFonts w:ascii="Calibri" w:hAnsi="Calibri"/>
          <w:b/>
          <w:color w:val="6E8450"/>
          <w:sz w:val="18"/>
        </w:rPr>
        <w:t>https://www.qfin.com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Qfin has successfully evolved from its 360 Finance origins through multiple strategic pivots — P2P lending to institutional loan facilitation to SaaS platform — with full year 2025 revenue of RMB19.2B (up 11.9% YoY) and net income of RMB6.0B [1]. Named 'Most Honored Company' in 2025 Extel Asia rankings for the second consecutive year [2]. The company's pivot to a capital-light facilitation model (49.3% of volume) represents meaningful business model innovation. AI Deployment (2/2): TRIDENT, Qfin's proprietary Multimodal Large Language Model, powers core credit operations including fraud detection, credit assessment, customer service automation, and risk management [2]. The company's 'AI + Finance' strategy with intelligent agents is deployed in production and directly drives revenue — AI is the product, not a feature. Market Share (1/2): Qfin is a leading credit-tech platform in China but operates behind Ant Group and JD Finance in scale; competitive pressure from larger tech-finance platforms limits market share gains [3]. Pipeline (1/2): SaaS platform for banks represents a new revenue stream, and continued AI model development (TRIDENT upgrades) shows pipeline investment, but specific product timelines and revenue targets are vague [2]. R&amp;D Intensity (1/1): As an AI-first credit-tech company, technology investment is the core business; CEO Haisheng Wu was the only Chinese fintech representative at UN 80th anniversary digital governance events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Qfin's stated mission centers on 'AI-driven financial inclusion' — connecting underserved borrowers with institutional capital through technology [2]. CEO Wu's participation in the UN 80th anniversary events discussing AI-driven financial inclusion adds credibility, but the mission is complicated by regulatory concerns about gray-zone interest rate practices that effectively charged up to 36% when fees were included [3]. Community Impact (1/2): The platform serves consumers and small/micro-enterprises who may lack access to traditional banking, representing genuine financial inclusion impact in China. However, customer complaints have been significant enough to trigger regulatory summoning [3]. Employee Retention (0/2): No public data on employee tenure, turnover, or culture metrics for this Chinese technology company. Insider Buying (1/2): The company maintains active share buyback programs demonstrating management conviction in the stock's undervaluation, though specific insider purchase data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Qfin's financial profile is exceptionally strong on most metrics. D/E of 18.2% reflects a nearly debt-free balance sheet with RMB7.5B cash against RMB4.4B debt [4]. ROE of 24.7% significantly exceeds the 15% target, and profit margin of 31.2% reflects the capital-light facilitation model's economics [4]. Forward P/E of 2.6x is extraordinarily cheap — either a deep value opportunity or a China risk discount. Payout ratio of 23.9% with 11.6% dividend yield and strong dividend growth (~17% 5yr CAGR) provide attractive income, though consecutive years paid (5) and consecutive years of growth (3) are limited [4]. Revenue declined 8.7% YoY in the most recent period due to regulatory tightening and Q4 2025 weakness, partially offsetting otherwise excellent metrics [1]. Liquidity floor cleared: 1.54M avg vol × $13.27 = $20.5M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Qfin operates with predominantly finite game tendencies — three name changes in six years (360 Finance → Qifu Technology → Qfin Holdings), aggressive gray-zone interest rate practices triggering regulatory crackdowns, and quarterly earnings focus suggest a company optimizing for near-term performance rather than enduring purpose. However, the genuine financial inclusion mission, CEO engagement at the UN, and strategic evolution show some infinite game elements.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Qfin's financial inclusion mission — connecting underserved borrowers with institutional capital through AI — has genuine elements but is undermined by practices that charged effective interest rates near 36% (well above China's 24% cap) and generated significant customer complaints triggering regulatory summoning [3]. Sinek would question whether the 'cause' of financial inclusion is authentic when the company profited from gray-zone lending practices that arguably exploited the very population it claims to serve. Three name changes in six years further suggest brand management over purpose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Qfin's leadership team has been recognized as 'Most Honored' in Extel Asia rankings for consecutive years, winning 'Best CEO,' 'Best CFO,' and 'Best IR Professional' categories [2]. CEO Haisheng Wu has led since 2019, providing leadership continuity through significant regulatory and strategic transitions. However, limited transparency into organizational culture and the opacity typical of Chinese tech companies prevent scoring higher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management acknowledging worthy rivals or using competitive dynamics for self-improvement. The company's positioning focuses on its own AI technology superiority rather than learning from competitors like Ant Group, LexinFintech, or Yiren Digital [2]. The competitive language emphasizes market leadership rather than self-improvement through rivalry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Qfin has demonstrated genuine strategic flexibility — evolving from a P2P lending platform (360 Finance) to an institutional loan facilitation model (Qifu Technology) to an AI-driven credit-tech and SaaS platform (Qfin Holdings) [1][2]. The shift to a capital-light model (49.3% of volume) and the SaaS pivot for banks represent meaningful business model adaptation. However, these pivots were driven by regulatory pressure (P2P crackdown) and market necessity rather than cause-driven transformation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Wu's participation in UN 80th anniversary events as the sole Chinese fintech representative shows willingness to advocate for the industry at the highest levels [2]. The company's continued investment in AI (TRIDENT MLLM) and strategic pivots through multiple regulatory crises demonstrate resilience. However, operating in a regulatory gray zone on interest rates — profiting from ambiguity rather than building to comply proactively — suggests choosing expedience over principle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Qfin Holdings trades at a historically extreme valuation discount — 2.05x trailing P/E, 2.6x forward P/E, and 11.6% dividend yield — reflecting severe China and regulatory risk priced into the stock [4]. The underlying business is strong: RMB19.2B in 2025 revenue (up 11.9% YoY), RMB6.0B net income (31.2% profit margin), 24.7% ROE, and record operating cash flow of RMB11.1B [1]. The AI-native business model (TRIDENT MLLM powering credit scoring, fraud detection, and customer service) positions Qfin at the intersection of AI and fintech, with the capital-light facilitation model (49.3% of volume) reducing balance sheet risk [2]. Dividend growth of ~17% annually with a 23.9% payout ratio provides both income and growth optionality. The SEC's settlement of Gemini and dismissal of various China ADR concerns could signal easing regulatory pressure on Chinese listings.</w:t>
      </w:r>
    </w:p>
    <w:p>
      <w:pPr>
        <w:spacing w:after="120"/>
      </w:pPr>
      <w:r>
        <w:rPr>
          <w:rFonts w:ascii="Calibri" w:hAnsi="Calibri"/>
          <w:b w:val="0"/>
          <w:color w:val="3A4A28"/>
          <w:sz w:val="20"/>
        </w:rPr>
        <w:t>The bear case is substantial and centers on existential regulatory and geopolitical risks. China's fintech lending crackdown now includes criminal prosecutions for exceeding the 24% interest rate cap, and Qfin has been summoned by regulators due to high volumes of customer complaints about fee practices [3]. Grizzly Research published a short report alleging 'fake financials, fraudulent backers, and an imploding business,' raising material fraud concerns typical of China Hustle allegations [3]. Parent company Qihoo 360 was sanctioned by the US Commerce Department (2020) and designated by the Pentagon as a Chinese military-linked concern (2022), creating ADR delisting risk [3]. Q4 2025 showed steep profit decline (-46.8% EPS) with elevated delinquency in legacy portfolios, and Q1 2026 guidance projects a further 51-53% YoY earnings decline [1]. Revenue declined 8.7% in the most recent period. The 2.05x P/E may be cheap, or it may accurately reflect the probability-weighted risk of regulatory destruction, fraud, or delisting.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SaaS platform for banks could open a new recurring revenue stream with higher-quality institutional customers, reducing regulatory exposure [2]</w:t>
      </w:r>
    </w:p>
    <w:p>
      <w:pPr>
        <w:spacing w:before="40" w:after="40"/>
        <w:ind w:left="283"/>
      </w:pPr>
      <w:r>
        <w:rPr>
          <w:rFonts w:ascii="Calibri" w:hAnsi="Calibri"/>
          <w:b/>
          <w:color w:val="4A6B25"/>
          <w:sz w:val="20"/>
        </w:rPr>
        <w:t xml:space="preserve">2. </w:t>
      </w:r>
      <w:r>
        <w:rPr>
          <w:rFonts w:ascii="Calibri" w:hAnsi="Calibri"/>
          <w:b w:val="0"/>
          <w:color w:val="3A4A28"/>
          <w:sz w:val="20"/>
        </w:rPr>
        <w:t>Continued dividend growth (17% CAGR) with only 23.9% payout ratio from RMB11.1B operating cash flow provides shareholder return acceleration potential [1]</w:t>
      </w:r>
    </w:p>
    <w:p>
      <w:pPr>
        <w:spacing w:before="40" w:after="40"/>
        <w:ind w:left="283"/>
      </w:pPr>
      <w:r>
        <w:rPr>
          <w:rFonts w:ascii="Calibri" w:hAnsi="Calibri"/>
          <w:b/>
          <w:color w:val="4A6B25"/>
          <w:sz w:val="20"/>
        </w:rPr>
        <w:t xml:space="preserve">3. </w:t>
      </w:r>
      <w:r>
        <w:rPr>
          <w:rFonts w:ascii="Calibri" w:hAnsi="Calibri"/>
          <w:b w:val="0"/>
          <w:color w:val="3A4A28"/>
          <w:sz w:val="20"/>
        </w:rPr>
        <w:t>Potential easing of US-China ADR regulatory tensions or Hong Kong dual-listing providing alternative trading venue protection against delisting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fintech regulatory crackdown — criminal prosecutions for interest rate cap violations and regulatory summoning over customer complaints could fundamentally threaten the business model [3]</w:t>
      </w:r>
    </w:p>
    <w:p>
      <w:pPr>
        <w:spacing w:before="40" w:after="40"/>
        <w:ind w:left="283"/>
      </w:pPr>
      <w:r>
        <w:rPr>
          <w:rFonts w:ascii="Calibri" w:hAnsi="Calibri"/>
          <w:b/>
          <w:color w:val="4A6B25"/>
          <w:sz w:val="20"/>
        </w:rPr>
        <w:t xml:space="preserve">2. </w:t>
      </w:r>
      <w:r>
        <w:rPr>
          <w:rFonts w:ascii="Calibri" w:hAnsi="Calibri"/>
          <w:b w:val="0"/>
          <w:color w:val="3A4A28"/>
          <w:sz w:val="20"/>
        </w:rPr>
        <w:t>ADR delisting risk — parent Qihoo 360's US sanctions and Pentagon military designation create existential risk for the NASDAQ listing [3]</w:t>
      </w:r>
    </w:p>
    <w:p>
      <w:pPr>
        <w:spacing w:before="40" w:after="40"/>
        <w:ind w:left="283"/>
      </w:pPr>
      <w:r>
        <w:rPr>
          <w:rFonts w:ascii="Calibri" w:hAnsi="Calibri"/>
          <w:b/>
          <w:color w:val="4A6B25"/>
          <w:sz w:val="20"/>
        </w:rPr>
        <w:t xml:space="preserve">3. </w:t>
      </w:r>
      <w:r>
        <w:rPr>
          <w:rFonts w:ascii="Calibri" w:hAnsi="Calibri"/>
          <w:b w:val="0"/>
          <w:color w:val="3A4A28"/>
          <w:sz w:val="20"/>
        </w:rPr>
        <w:t>Earnings deterioration — Q4 2025 EPS fell 46.8% with Q1 2026 guidance projecting 51-53% YoY decline, suggesting the business is contracting under regulatory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Qfin is an AI-native company — its TRIDENT multimodal LLM and 'AI + Finance' strategy mean AI is the core competitive advantage, not a threat [2]. AI enhances every aspect of the business: credit scoring, fraud detection, customer service, and risk management. The primary risk is not AI disruption but AI competition — larger Chinese tech companies (Ant Group, Tencent, JD Finance) deploying superior AI models could compress Qfin's margins and market share [3]. Regulatory requirements for lending licenses and financial institution partnerships provide some moat against pure-AI startups, but the competitive landscape is intensifying. AI Opportunity (1/1): Qfin generates essentially all its revenue through AI-powered credit facilitation — the TRIDENT MLLM directly drives lending decisions, customer acquisition, and risk management across RMB88.9B in Q1 2025 loan facilitation volume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Qfin Holdings Q4 and Full Year 2025 Financial Results — RMB19.2B revenue, RMB6.0B net income, RMB11.1B operating cash flow, March 2026</w:t>
      </w:r>
    </w:p>
    <w:p>
      <w:pPr>
        <w:spacing w:before="20" w:after="20"/>
        <w:ind w:left="170"/>
      </w:pPr>
      <w:r>
        <w:rPr>
          <w:rFonts w:ascii="Calibri" w:hAnsi="Calibri"/>
          <w:b/>
          <w:color w:val="4A6B25"/>
          <w:sz w:val="15"/>
        </w:rPr>
        <w:t xml:space="preserve">2. </w:t>
      </w:r>
      <w:r>
        <w:rPr>
          <w:rFonts w:ascii="Calibri" w:hAnsi="Calibri"/>
          <w:b w:val="0"/>
          <w:color w:val="3A4A28"/>
          <w:sz w:val="17"/>
        </w:rPr>
        <w:t>StockTitan / Qfin Investor Relations — TRIDENT AI platform, Extel 'Most Honored Company' recognition, CEO at UN 80th anniversary, 2025-2026</w:t>
      </w:r>
    </w:p>
    <w:p>
      <w:pPr>
        <w:spacing w:before="20" w:after="20"/>
        <w:ind w:left="170"/>
      </w:pPr>
      <w:r>
        <w:rPr>
          <w:rFonts w:ascii="Calibri" w:hAnsi="Calibri"/>
          <w:b/>
          <w:color w:val="4A6B25"/>
          <w:sz w:val="15"/>
        </w:rPr>
        <w:t xml:space="preserve">3. </w:t>
      </w:r>
      <w:r>
        <w:rPr>
          <w:rFonts w:ascii="Calibri" w:hAnsi="Calibri"/>
          <w:b w:val="0"/>
          <w:color w:val="3A4A28"/>
          <w:sz w:val="17"/>
        </w:rPr>
        <w:t>Benzinga / Grizzly Research / Seeking Alpha — China fintech lending crackdown, short seller allegations, ADR delisting risk, regulatory concerns,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QFIN (Qfin Holdings),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