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QNCX</w:t>
      </w:r>
      <w:r>
        <w:rPr>
          <w:rFonts w:ascii="Calibri" w:hAnsi="Calibri"/>
          <w:b/>
          <w:color w:val="1A2010"/>
          <w:sz w:val="40"/>
        </w:rPr>
        <w:t xml:space="preserve">  Quince Therapeutics, Inc.</w:t>
      </w:r>
    </w:p>
    <w:p>
      <w:pPr>
        <w:spacing w:after="120"/>
      </w:pPr>
      <w:r>
        <w:rPr>
          <w:rFonts w:ascii="Calibri" w:hAnsi="Calibri"/>
          <w:b/>
          <w:color w:val="6E8450"/>
          <w:sz w:val="18"/>
        </w:rPr>
        <w:t>GROWTH SLEEVE · 2026-03-23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Quince Therapeutics was a clinical-stage biopharmaceutical company developing eDSP (enzyme replacement therapy delivered via subcutaneous pump) for rare diseases. Following the Phase 3 NEAT trial failure for Ataxia-Telangiectasia in January 2026, the company ceased clinical development and is exploring strategic alternatives.</w:t>
      </w:r>
    </w:p>
    <w:p>
      <w:r>
        <w:rPr>
          <w:rFonts w:ascii="Calibri" w:hAnsi="Calibri"/>
          <w:b/>
          <w:color w:val="6E8450"/>
          <w:sz w:val="18"/>
        </w:rPr>
        <w:t>30 Employees · https://www.quincetx.com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The Phase 3 NEAT trial for Ataxia-Telangiectasia failed to meet its primary endpoint (p=0.0851) or key secondary endpoint (p=0.522) in January 2026 [1]. The company has ceased all eDSP clinical development, eliminating its entire product pipeline. AI Deployment (0/2): No AI deployment in a clinical-stage biotech that has terminated its development programs. Market Share (1/2): Quince had been one of the few companies addressing A-T, a rare disease, providing niche positioning that is now irrelevant [1]. Pipeline (0/2): Pipeline is effectively zero — eDSP development ceased, DMD Phase 2 study status uncertain, and the company is exploring strategic alternatives including dissolution [1]. R&amp;D Intensity (1/1): Invested heavily in clinical trials relative to company size, though the investment failed to produce results.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Developing therapies for rare diseases affecting children (Ataxia-Telangiectasia, Duchenne muscular dystrophy) is a noble cause, but the mission is now unfulfillable following the clinical trial failure [1]. Community Impact (0/2): The failed trial is a setback for the A-T patient community that participated in the study. Employee Retention (0/2): With approximately 30 employees and strategic alternatives being explored, retention is irrelevant — the company is likely winding down [1]. Insider Buying (1/2): No insider buying signals; the engagement of LifeSci Capital for strategic alternatives suggests management is preparing for exit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(65,053,457) x stock_price ($0.08) = $5.2M — above the $1M floor, so the liquidity floor does NOT zero out infrastructure. However, the financial profile is catastrophic on its own merits. The stock trades at $0.08 with a market cap of only $4.5M [6]. D/E of 1,699.1% is extraordinarily high, ROE of -247.8% reflects total capital destruction, and there is zero revenue. The company has engaged a financial advisor to explore strategic alternatives including potential dissolution [1]. Cash runway extends only into H2 2026 if warrants are exercised. This is effectively a shell company. Score of 0 reflects terminal financial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Quince Therapeutics is in terminal wind-down mode following the Phase 3 NEAT trial failure. The company has ceased all clinical development and is exploring strategic alternatives including mergers, acquisitions, licensing, or dissolution. The infinite game is over for this entity in its current form.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therapies for children with rare diseases like Ataxia-Telangiectasia represents a genuine just cause that motivated the company's work [1]. The cause itself was meaningful, even though the science failed to deliver. The engagement of LifeSci Capital suggests the mission will not continue in its current form.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~30 employees, a failed pivotal trial, and strategic alternatives being explored, the organizational fabric has effectively dissolved [1]. Employee uncertainty about the company's continued existence makes trust irrelevant.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rare disease space has few direct competitors for A-T treatment, but the clinical failure itself is the ultimate defeat — the rival is biology, not another company [1]. No evidence of learning from the failure to inform future approaches.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showed some flexibility by expanding from A-T to DMD and publishing research across pulmonary and IBD indications [1]. However, the Phase 3 failure has eliminated the ability to pivot meaningfully, and the strategic alternatives process suggests the entity itself may not survive.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cease all eDSP development and explore strategic alternatives is the responsible decision given the data, but it represents an ending rather than a courageous new direction [1]. The company lacked the resources or data to justify continuing.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bull case for Quince Therapeutics as a going concern. The Phase 3 NEAT trial failed its primary endpoint in January 2026, the company ceased all eDSP clinical development, and LifeSci Capital was engaged to explore strategic alternatives [1]. The only potential value lies in the strategic alternatives process — the company's remaining cash, intellectual property, and Nasdaq listing shell could have modest value in a reverse merger or asset sale. With warrants fully exercised, cash could extend into H2 2026, providing a limited window for transaction completion.</w:t>
      </w:r>
    </w:p>
    <w:p>
      <w:pPr>
        <w:spacing w:after="120"/>
      </w:pPr>
      <w:r>
        <w:rPr>
          <w:rFonts w:ascii="Calibri" w:hAnsi="Calibri"/>
          <w:b w:val="0"/>
          <w:color w:val="3A4A28"/>
          <w:sz w:val="20"/>
        </w:rPr>
        <w:t>The bear case is the default outcome. QNCX trades at $0.08 with a $4.5M market cap and D/E of 1,699% [6]. The Phase 3 trial failure is definitive — the primary endpoint missed statistical significance (p=0.0851) and the key secondary endpoint showed no effect (p=0.522) [1]. With no pipeline, no revenue, and limited cash, the company is likely headed for dissolution or a reverse merger where existing shareholders receive minimal consideration. The stock has fallen from $0.98 SMA50 to $0.08, a 92% decline, reflecting the terminal nature of the situation. Any investment at this stage is pure speculation on the strategic alternatives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process could yield a reverse merger, asset sale, or licensing deal that provides some value to shareholders [1]</w:t>
      </w:r>
    </w:p>
    <w:p>
      <w:pPr>
        <w:spacing w:before="40" w:after="40"/>
        <w:ind w:left="283"/>
      </w:pPr>
      <w:r>
        <w:rPr>
          <w:rFonts w:ascii="Calibri" w:hAnsi="Calibri"/>
          <w:b/>
          <w:color w:val="4A6B25"/>
          <w:sz w:val="20"/>
        </w:rPr>
        <w:t xml:space="preserve">2. </w:t>
      </w:r>
      <w:r>
        <w:rPr>
          <w:rFonts w:ascii="Calibri" w:hAnsi="Calibri"/>
          <w:b w:val="0"/>
          <w:color w:val="3A4A28"/>
          <w:sz w:val="20"/>
        </w:rPr>
        <w:t>Intellectual property from eDSP platform research across multiple indications (A-T, DMD, CF, COPD, IBD) could have licensing value [1]</w:t>
      </w:r>
    </w:p>
    <w:p>
      <w:pPr>
        <w:spacing w:before="40" w:after="40"/>
        <w:ind w:left="283"/>
      </w:pPr>
      <w:r>
        <w:rPr>
          <w:rFonts w:ascii="Calibri" w:hAnsi="Calibri"/>
          <w:b/>
          <w:color w:val="4A6B25"/>
          <w:sz w:val="20"/>
        </w:rPr>
        <w:t xml:space="preserve">3. </w:t>
      </w:r>
      <w:r>
        <w:rPr>
          <w:rFonts w:ascii="Calibri" w:hAnsi="Calibri"/>
          <w:b w:val="0"/>
          <w:color w:val="3A4A28"/>
          <w:sz w:val="20"/>
        </w:rPr>
        <w:t>Nasdaq listing shell value in a reverse merger transaction — though the sub-$1 price creates delisting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Dissolution risk — if strategic alternatives fail to produce a viable transaction, the company could wind down with minimal shareholder recovery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 trading at $0.08, well below the $1.00 minimum bid price, creates imminent delisting risk that would further destroy liquidity [6]</w:t>
      </w:r>
    </w:p>
    <w:p>
      <w:pPr>
        <w:spacing w:before="40" w:after="40"/>
        <w:ind w:left="283"/>
      </w:pPr>
      <w:r>
        <w:rPr>
          <w:rFonts w:ascii="Calibri" w:hAnsi="Calibri"/>
          <w:b/>
          <w:color w:val="4A6B25"/>
          <w:sz w:val="20"/>
        </w:rPr>
        <w:t xml:space="preserve">3. </w:t>
      </w:r>
      <w:r>
        <w:rPr>
          <w:rFonts w:ascii="Calibri" w:hAnsi="Calibri"/>
          <w:b w:val="0"/>
          <w:color w:val="3A4A28"/>
          <w:sz w:val="20"/>
        </w:rPr>
        <w:t>Cash runway exhaustion — limited cash extending only into H2 2026 creates urgency that weakens negotiating position in any strategic transaction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As a clinical-stage biotech that has terminated its development programs, Quince has no AI-related revenue, products, or competitive position [1]. AI-driven drug discovery could theoretically have helped Quince design better clinical trials, but this is moot given the company's decision to cease development. AI neither threatens nor benefits a company with no active operations. AI Opportunity (0/1): No opportunity to leverage AI given the termination of all clinical programs and exploration of strategic alternatives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Quince Therapeutics Phase 3 NEAT Trial Topline Results announcement, January 29, 2026</w:t>
      </w:r>
    </w:p>
    <w:p>
      <w:pPr>
        <w:spacing w:before="20" w:after="20"/>
        <w:ind w:left="170"/>
      </w:pPr>
      <w:r>
        <w:rPr>
          <w:rFonts w:ascii="Calibri" w:hAnsi="Calibri"/>
          <w:b/>
          <w:color w:val="4A6B25"/>
          <w:sz w:val="15"/>
        </w:rPr>
        <w:t xml:space="preserve">2. </w:t>
      </w:r>
      <w:r>
        <w:rPr>
          <w:rFonts w:ascii="Calibri" w:hAnsi="Calibri"/>
          <w:b w:val="0"/>
          <w:color w:val="3A4A28"/>
          <w:sz w:val="17"/>
        </w:rPr>
        <w:t>Quince Therapeutics Strategic Alternatives and LifeSci Capital engagement, February 9, 2026</w:t>
      </w:r>
    </w:p>
    <w:p>
      <w:pPr>
        <w:spacing w:before="20" w:after="20"/>
        <w:ind w:left="170"/>
      </w:pPr>
      <w:r>
        <w:rPr>
          <w:rFonts w:ascii="Calibri" w:hAnsi="Calibri"/>
          <w:b/>
          <w:color w:val="4A6B25"/>
          <w:sz w:val="15"/>
        </w:rPr>
        <w:t xml:space="preserve">3. </w:t>
      </w:r>
      <w:r>
        <w:rPr>
          <w:rFonts w:ascii="Calibri" w:hAnsi="Calibri"/>
          <w:b w:val="0"/>
          <w:color w:val="3A4A28"/>
          <w:sz w:val="17"/>
        </w:rPr>
        <w:t>Quince Therapeutics Q3 2025 Business Update — cash position and trial enrollment, November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QNCX (Quince Therapeutics), retrieved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