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QSR</w:t>
      </w:r>
      <w:r>
        <w:rPr>
          <w:rFonts w:ascii="Calibri" w:hAnsi="Calibri"/>
          <w:b/>
          <w:color w:val="1A2010"/>
          <w:sz w:val="40"/>
        </w:rPr>
        <w:t xml:space="preserve">  Restaurant Brands International Inc.</w:t>
      </w:r>
    </w:p>
    <w:p>
      <w:pPr>
        <w:spacing w:after="120"/>
      </w:pPr>
      <w:r>
        <w:rPr>
          <w:rFonts w:ascii="Calibri" w:hAnsi="Calibri"/>
          <w:b/>
          <w:color w:val="6E8450"/>
          <w:sz w:val="18"/>
        </w:rPr>
        <w:t>DIVIDEND SLEEVE · 2026-04-07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United States</w:t>
      </w:r>
    </w:p>
    <w:p>
      <w:pPr>
        <w:spacing w:after="80"/>
      </w:pPr>
      <w:r>
        <w:rPr>
          <w:rFonts w:ascii="Calibri" w:hAnsi="Calibri"/>
          <w:b w:val="0"/>
          <w:color w:val="3A4A28"/>
          <w:sz w:val="20"/>
        </w:rPr>
        <w:t>Restaurant Brands International is a quick-service restaurant company that owns and franchises four iconic brands: Tim Hortons, Burger King, Popeyes Louisiana Kitchen, and Firehouse Subs. The company operates over 30,000 restaurants in more than 100 countries, primarily through a franchise model. RBI is majority-owned by 3G Capital.</w:t>
      </w:r>
    </w:p>
    <w:p>
      <w:r>
        <w:rPr>
          <w:rFonts w:ascii="Calibri" w:hAnsi="Calibri"/>
          <w:b/>
          <w:color w:val="6E8450"/>
          <w:sz w:val="18"/>
        </w:rPr>
        <w:t>53,500 Employees · https://www.rbi.com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RBI has grown through acquisitions (Tim Hortons 2014, Popeyes 2017, Firehouse Subs 2022) rather than organic product innovation. The Burger King 'Reclaim the Flame' turnaround plan has delivered same-store sales improvement but is a renovation, not innovation [1]. AI Deployment (1/2): RBI is deploying digitized drive-thru lanes, self-ordering kiosks, digital menu boards, and predictive ordering capabilities across its brands [3]. These are operational AI/tech deployments but not AI products that generate revenue. Market Share (1/2): Burger King is the #2 global hamburger chain; Tim Hortons dominates Canadian coffee; Popeyes is a top-3 chicken chain. Collectively strong, but losing domestic share to Chick-fil-A and other fast-casual concepts [1]. Pipeline (1/2): RBI targets 5%+ net restaurant growth and 8%+ organic adjusted operating income growth through 2028, with $1.6B capital return planned for 2026 [1]. Specific product launches are not disclosed. R&amp;D Intensity (1/1): Technology investment through CTO Asher Perlmutter (hired 2022) and digital transformation across all brands is above average for QSR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RBI's corporate purpose is not prominently articulated beyond being 'one of the world's largest quick service restaurant companies.' The brands have individual identities but RBI itself lacks a distinctive purpose statement beyond growth and franchise excellence [4]. Community &amp; Charitable Impact (1/2): Tim Hortons has well-known charitable programs including Tim Hortons Foundation Camps for underserved youth. Burger King Foundation provides scholarships. These are meaningful but standard corporate philanthropy [4]. Employee Retention (1/2): 53,500 corporate employees with CEO Josh Kobza providing stable leadership since 2023 after prior roles as CTO and COO. 3G Capital's cost-cutting culture has historically created tension but Kobza represents a new chapter [3]. Insider Buying (1/2): No specific insider buying data found; 3G Capital remains the controlling shareholder, representing ongoing conviction in the long-term story.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passes: 3,459,731 avg vol × $77.23 = $267.2M &gt; $1M floor. Calculated mechanically from dividend-stock metrics. D/E of 303.9% scores 0.0 (1× weight) — above the 300% floor, reflecting franchise-model leverage [5]. ROE of 24.0% scores 1.0 (1× weight) — well above 15% target [5]. Revenue Growth YoY of 7.4% scores 0.91 (1× weight) — (7.4−(−20))/(10−(−20)) = 27.4/30 [1]. Revenue Growth 5yr CAGR of ~11% scores 1.0 (1× weight) — driven by Firehouse acquisition and organic growth [1]. Forward P/E of 17.5 scores 1.0 (1× weight) — below 20 target [5]. Profit Margin of 8.2% scores 0.41 (1× weight) — (8.2−0)/(20−0) [5]. Payout Ratio of 94.3% scores 0.095 (1× weight) — near the 100% floor [5]. Consecutive Years Paid: 11 years scores 1.0 (2× weight) — dividends since 2015 [5]. Consecutive Years Growth: ~8 years scores 0.8 (1× weight). 5yr Dividend Growth CAGR: ~3% scores 0.5 (2× weight). Weighted sum = 0 + 1.0 + 0.91 + 1.0 + 1.0 + 0.41 + 0.095 + 2.0 + 0.8 + 1.0 = 8.215 / max 12 × 10 = 6.85, rounds to 7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RBI shows mixed infinite game characteristics. The company owns four iconic brands that have endured for decades (Burger King since 1954, Tim Hortons since 1964), suggesting infinite game DNA. However, the 3G Capital-influenced culture of aggressive cost-cutting and acquisition-driven growth reflects finite game optimization. CEO Josh Kobza represents a shift toward operational excellence and brand investment, but the high leverage and near-100% payout ratio leave little margin for long-term flexibility.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Cause exists but is shallow (1 pt). RBI's purpose is implicitly about making iconic quick-service food accessible worldwide, but this is not articulated as a Just Cause [4]. The company's strategic communications focus on growth targets (5%+ restaurant growth, 8%+ operating income growth, $1.6B capital return) rather than a vision of a better future [1]. The individual brands have emotional resonance with consumers, but RBI corporate operates as a financial holding company.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 pt). CEO Kobza has brought operational stability after the leadership transition from Jose Cil in 2023, and his progression from CTO to COO to CEO demonstrates internal career development [3]. However, 3G Capital's historical reputation for aggressive cost-cutting and zero-based budgeting has created cultural friction at acquired brands. The 53,500-employee organization spans four brands and 100+ countries, making cultural cohesion challenging.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 pt). RBI explicitly acknowledges competitive intensity in its risk factors and uses rivals like Chick-fil-A and McDonald's as motivation for the 'Reclaim the Flame' Burger King improvement plan [1]. The company's investment in digital transformation and restaurant modernization is directly inspired by competitive pressure from fast-casual concepts. Management frames competition as driving improvement rather than a war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RBI has evolved from a Burger King-only company to a multi-brand QSR platform through sequential acquisitions (Tim Hortons, Popeyes, Firehouse Subs), demonstrating willingness to expand beyond the original business [1]. The shift from pure cost-cutting under 3G to brand investment under Kobza represents meaningful strategic evolution. However, the core franchise model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 pt). The 'Reclaim the Flame' $400M+ investment in Burger King U.S. represents a willingness to spend near-term to rebuild a declining brand rather than extracting maximum cash flow [1]. CEO Kobza's shift from 3G-style cost optimization to operational excellence and brand investment shows courage to change the playbook. The commitment to $1.6B in 2026 shareholder returns despite transformation needs shows confidence.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Restaurant Brands International owns four iconic QSR brands with 30,000+ restaurants in 100+ countries, generating $9.4B in annual revenue with 24% ROE and a 3.4% dividend yield [1][5]. The franchise-light model produces strong free cash flow, and CEO Josh Kobza is reaffirming 8%+ organic adjusted operating income growth and 5%+ net restaurant growth through 2028 with $1.6B in 2026 capital returns [1]. Q4 2025 delivered 7.4% revenue growth and 18.7% EPS growth (ex-items), with international same-store sales up 6.1% demonstrating global brand strength. At 17.5× forward P/E, the stock trades at a reasonable valuation for a global franchise platform with improving fundamentals.</w:t>
      </w:r>
    </w:p>
    <w:p>
      <w:pPr>
        <w:spacing w:after="120"/>
      </w:pPr>
      <w:r>
        <w:rPr>
          <w:rFonts w:ascii="Calibri" w:hAnsi="Calibri"/>
          <w:b w:val="0"/>
          <w:color w:val="3A4A28"/>
          <w:sz w:val="20"/>
        </w:rPr>
        <w:t>The bear case centers on leverage and domestic weakness. D/E of 304% is at the scoring floor, reflecting the acquisition-funded franchise model's inherent leverage risk [5]. The 94.3% payout ratio leaves minimal cushion for dividend safety if earnings decline. Burger King U.S. same-store sales remain a challenge despite the 'Reclaim the Flame' investment, and domestic market share losses to Chick-fil-A and fast-casual concepts continue [1]. Profit margin of just 8.2% is thin for a franchise model and reflects the company's mix of owned restaurants and G&amp;A costs. The 3G Capital overhang creates governance concerns — aggressive cost-cutting culture may conflict with the brand investment needed for long-term health. Deforestation-linked supply chain controversies (beef, soy, palm oil) have attracted shareholder activism, and weak ESG disclosure creates reputational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Burger King U.S. turnaround through 'Reclaim the Flame' modernization program delivering sustained same-store sales improvement and market share recovery [1]</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driving 5%+ net restaurant growth, particularly in underpenetrated markets where Burger King and Tim Hortons have strong brand recognition [1]</w:t>
      </w:r>
    </w:p>
    <w:p>
      <w:pPr>
        <w:spacing w:before="40" w:after="40"/>
        <w:ind w:left="283"/>
      </w:pPr>
      <w:r>
        <w:rPr>
          <w:rFonts w:ascii="Calibri" w:hAnsi="Calibri"/>
          <w:b/>
          <w:color w:val="4A6B25"/>
          <w:sz w:val="20"/>
        </w:rPr>
        <w:t xml:space="preserve">3. </w:t>
      </w:r>
      <w:r>
        <w:rPr>
          <w:rFonts w:ascii="Calibri" w:hAnsi="Calibri"/>
          <w:b w:val="0"/>
          <w:color w:val="3A4A28"/>
          <w:sz w:val="20"/>
        </w:rPr>
        <w:t>$1.6B capital return in 2026 through dividends and buybacks, supporting yield and EPS growth for shareholders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Excessive leverage — D/E of 304% at the scoring floor with 94.3% payout ratio leaving minimal cushion for dividend maintenance if earnings decline [5]</w:t>
      </w:r>
    </w:p>
    <w:p>
      <w:pPr>
        <w:spacing w:before="40" w:after="40"/>
        <w:ind w:left="283"/>
      </w:pPr>
      <w:r>
        <w:rPr>
          <w:rFonts w:ascii="Calibri" w:hAnsi="Calibri"/>
          <w:b/>
          <w:color w:val="4A6B25"/>
          <w:sz w:val="20"/>
        </w:rPr>
        <w:t xml:space="preserve">2. </w:t>
      </w:r>
      <w:r>
        <w:rPr>
          <w:rFonts w:ascii="Calibri" w:hAnsi="Calibri"/>
          <w:b w:val="0"/>
          <w:color w:val="3A4A28"/>
          <w:sz w:val="20"/>
        </w:rPr>
        <w:t>Burger King U.S. domestic market share erosion to Chick-fil-A and fast-casual competitors, despite $400M+ 'Reclaim the Flame' investment [1]</w:t>
      </w:r>
    </w:p>
    <w:p>
      <w:pPr>
        <w:spacing w:before="40" w:after="40"/>
        <w:ind w:left="283"/>
      </w:pPr>
      <w:r>
        <w:rPr>
          <w:rFonts w:ascii="Calibri" w:hAnsi="Calibri"/>
          <w:b/>
          <w:color w:val="4A6B25"/>
          <w:sz w:val="20"/>
        </w:rPr>
        <w:t xml:space="preserve">3. </w:t>
      </w:r>
      <w:r>
        <w:rPr>
          <w:rFonts w:ascii="Calibri" w:hAnsi="Calibri"/>
          <w:b w:val="0"/>
          <w:color w:val="3A4A28"/>
          <w:sz w:val="20"/>
        </w:rPr>
        <w:t>Supply chain ESG risk — shareholder resolutions demanding deforestation reporting, weak sustainability disclosure, and reputational risk from beef/soy/palm oil sourcing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QSR restaurants are physical-world operations — AI cannot replace the cooking, serving, and in-store experience that drives 30,000+ restaurant locations [1]. The franchise model creates structural protection as franchisees own the physical assets and local customer relationships. Food preparation, real estate, and supply chain logistics are AI-resistant activities. Drive-thru ordering and kitchen operations may see AI augmentation but not displacement. AI Opportunity (1/1): RBI is actively deploying AI in operations — predictive ordering, digital menu optimization, self-ordering kiosks, and digitized drive-thru lanes generate measurable efficiency gains across its restaurant network [3]. CTO Asher Perlmutter leads technology integration across all four brands.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Restaurant Brands International Q4 and Full Year 2025 Results — 7.4% revenue growth, 18.7% EPS growth, 2028 growth targets reaffirmed, February 2026</w:t>
      </w:r>
    </w:p>
    <w:p>
      <w:pPr>
        <w:spacing w:before="20" w:after="20"/>
        <w:ind w:left="170"/>
      </w:pPr>
      <w:r>
        <w:rPr>
          <w:rFonts w:ascii="Calibri" w:hAnsi="Calibri"/>
          <w:b/>
          <w:color w:val="4A6B25"/>
          <w:sz w:val="15"/>
        </w:rPr>
        <w:t xml:space="preserve">2. </w:t>
      </w:r>
      <w:r>
        <w:rPr>
          <w:rFonts w:ascii="Calibri" w:hAnsi="Calibri"/>
          <w:b w:val="0"/>
          <w:color w:val="3A4A28"/>
          <w:sz w:val="17"/>
        </w:rPr>
        <w:t>CNBC — Restaurant Brands shares fall despite earnings beat, strong international growth, February 2026</w:t>
      </w:r>
    </w:p>
    <w:p>
      <w:pPr>
        <w:spacing w:before="20" w:after="20"/>
        <w:ind w:left="170"/>
      </w:pPr>
      <w:r>
        <w:rPr>
          <w:rFonts w:ascii="Calibri" w:hAnsi="Calibri"/>
          <w:b/>
          <w:color w:val="4A6B25"/>
          <w:sz w:val="15"/>
        </w:rPr>
        <w:t xml:space="preserve">3. </w:t>
      </w:r>
      <w:r>
        <w:rPr>
          <w:rFonts w:ascii="Calibri" w:hAnsi="Calibri"/>
          <w:b w:val="0"/>
          <w:color w:val="3A4A28"/>
          <w:sz w:val="17"/>
        </w:rPr>
        <w:t>RBI Corporate — leadership changes, CTO Asher Perlmutter technology strategy, digital transformation initiatives</w:t>
      </w:r>
    </w:p>
    <w:p>
      <w:pPr>
        <w:spacing w:before="20" w:after="20"/>
        <w:ind w:left="170"/>
      </w:pPr>
      <w:r>
        <w:rPr>
          <w:rFonts w:ascii="Calibri" w:hAnsi="Calibri"/>
          <w:b/>
          <w:color w:val="4A6B25"/>
          <w:sz w:val="15"/>
        </w:rPr>
        <w:t xml:space="preserve">4. </w:t>
      </w:r>
      <w:r>
        <w:rPr>
          <w:rFonts w:ascii="Calibri" w:hAnsi="Calibri"/>
          <w:b w:val="0"/>
          <w:color w:val="3A4A28"/>
          <w:sz w:val="17"/>
        </w:rPr>
        <w:t>Ekō / Sustainalytics — shareholders file deforestation resolution, ESG risk rating and disclosure analysis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QSR (Restaurant Brands International),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