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QTWO</w:t>
      </w:r>
      <w:r>
        <w:rPr>
          <w:rFonts w:ascii="Calibri" w:hAnsi="Calibri"/>
          <w:b/>
          <w:color w:val="1A2010"/>
          <w:sz w:val="40"/>
        </w:rPr>
        <w:t xml:space="preserve">  Q2 Holdings, Inc.</w:t>
      </w:r>
    </w:p>
    <w:p>
      <w:pPr>
        <w:spacing w:after="120"/>
      </w:pPr>
      <w:r>
        <w:rPr>
          <w:rFonts w:ascii="Calibri" w:hAnsi="Calibri"/>
          <w:b/>
          <w:color w:val="6E8450"/>
          <w:sz w:val="18"/>
        </w:rPr>
        <w:t>GROWTH SLEEVE · 2026-05-06 · Inspire: 69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Q2 Holdings provides digital transformation solutions for financial institutions, FinTechs, and alternative finance companies. Its platform includes digital banking, risk and fraud management, lending solutions, and the Helix cloud-native core processing system, serving banks and credit unions across the United States.</w:t>
      </w:r>
    </w:p>
    <w:p>
      <w:r>
        <w:rPr>
          <w:rFonts w:ascii="Calibri" w:hAnsi="Calibri"/>
          <w:b/>
          <w:color w:val="6E8450"/>
          <w:sz w:val="18"/>
        </w:rPr>
        <w:t>2,548 Employees · https://www.q2.com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Q2 has demonstrated consistent product innovation with recent launches including Q2 Code, an AI-assisted development environment for custom banking add-ons, and AI-powered fraud tools including User Activity Monitoring and Restricted Entitlements Mode [1][3]. The company's $2.7 billion backlog grew 19% year-over-year, signaling strong market demand for its expanding product suite [1]. R&amp;D investment remains significant as Q2 broadens from pure digital banking into AI-driven fraud detection, treasury fulfillment, and commercial onboarding capabilities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Matt Flake's 12-year tenure has anchored Q2 around a mission to 'build stronger communities' through financial technology, earning prior Top Workplace awards in Austin [4]. Insider alignment is evidenced by Flake's continued leadership through the company's multi-year transition from losses to profitability. However, Glassdoor scores have softened to 3.3 for work-life balance and 3.4 for culture, with employees citing concerns about offshoring to India and layoff-driven overwork, tempering the inspiration narrative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Q2's balance sheet is clean with debt-to-equity of 56.2% and $379M in cash against $344M in debt [2]. Forward P/E of 16.2x is reasonable for a fintech growing revenue 14% annually, though trailing profit margins of 9.0% remain below software peers [1][2]. Free cash flow of $180M and adjusted EBITDA guidance of $239.5M for FY2026 reflect a maturing profitability profile, though the PEG ratio of 8.35 suggests the market prices in slower long-term growth than recent quarters indicate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Q2 operates with a clear purpose-driven orientation centered on strengthening community financial institutions. CEO Matt Flake's 12-year tenure and the company's successful pivot from growth-at-all-costs to profitable growth demonstrate long-term thinking, though recent employee sentiment indicates cultural strain from the efficiency push.</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Q2's mission to 'build stronger communities' by empowering community banks and credit unions with enterprise-grade digital tools is forward-looking, inclusive, and resilient [4]. The cause transcends any single product or leader — community banking access is a multi-generational need, and Q2's $2.7B backlog demonstrates institutional customers share this vision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signals: Q2 earned Top Workplace awards historically and CEO Flake is described as 'authentic and genuine' [4]. However, recent Glassdoor reviews (3.3 WLB, 3.1 career opportunities) cite exhaustion from doing 'multiple people's work,' poor communication about India offshoring, and leadership overly focused on EBITDA metrics rather than employee development [4].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Q2 competes against FIS, Fiserv, Jack Henry, and nCino yet has carved a differentiated position in mid-market digital banking with $802M in subscription ARR [1]. The company consistently benchmarks against larger rivals to drive product innovation, evidenced by its rapid AI feature development to maintain parity with better-resourced competitors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Q2 has expanded from a narrow digital banking front-end into a comprehensive platform encompassing fraud detection, commercial treasury, lending, and core processing via Helix [1][3]. This evolution demonstrates strategic flexibility, though it represents incremental expansion rather than a bold existential pivot — the company remains firmly within financial services technology.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deliberate shift from growth-at-all-costs (cumulative losses exceeding $200M through 2024) to profitable growth required significant courage, including workforce restructuring and operational efficiency measures that drew employee criticism [1][4]. Management raised EBITDA guidance to $239.5M while maintaining 14% revenue growth, demonstrating willingness to sacrifice short-term popularity for long-term sustainability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Q2 Holdings has successfully transitioned from a money-losing growth company to a profitable digital banking platform with strong unit economics. Q1 2026 revenue of $216.5M (+14% YoY) and adjusted EBITDA of $60M (+47% YoY) demonstrate operating leverage in the model [1]. The $2.7B backlog (+19% YoY) provides multi-year revenue visibility, while subscription ARR of $802M creates a sticky, recurring revenue base [1]. At a forward P/E of 16.2x — a significant discount to SaaS peers — the stock offers an attractive entry point for a company generating $180M in free cash flow with accelerating AI-driven product adoption across 1,200+ financial institution clients [1][2].</w:t>
      </w:r>
    </w:p>
    <w:p>
      <w:pPr>
        <w:spacing w:after="120"/>
      </w:pPr>
      <w:r>
        <w:rPr>
          <w:rFonts w:ascii="Calibri" w:hAnsi="Calibri"/>
          <w:b w:val="0"/>
          <w:color w:val="3A4A28"/>
          <w:sz w:val="20"/>
        </w:rPr>
        <w:t>The bear case centers on margin maturation risk and competitive pressure. Trailing profit margins of 9.0% remain well below software benchmarks, and the PEG ratio of 8.35 suggests the market questions whether recent EPS growth is sustainable beyond the profitability inflection [2]. Glassdoor scores trending lower (3.3-3.4) and concerns about India offshoring could signal cultural erosion that impacts product quality over time [4]. Additionally, larger competitors FIS and Fiserv are investing heavily in AI-native banking solutions that could erode Q2's mid-market differentiation, while regulatory changes to bank technology requirements could create compliance headwinds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fraud detection and Q2 Code platform driving upsell within existing $2.7B backlog, with 83% of banks increasing AI budgets</w:t>
      </w:r>
    </w:p>
    <w:p>
      <w:pPr>
        <w:spacing w:before="40" w:after="40"/>
        <w:ind w:left="283"/>
      </w:pPr>
      <w:r>
        <w:rPr>
          <w:rFonts w:ascii="Calibri" w:hAnsi="Calibri"/>
          <w:b/>
          <w:color w:val="4A6B25"/>
          <w:sz w:val="20"/>
        </w:rPr>
        <w:t xml:space="preserve">2. </w:t>
      </w:r>
      <w:r>
        <w:rPr>
          <w:rFonts w:ascii="Calibri" w:hAnsi="Calibri"/>
          <w:b w:val="0"/>
          <w:color w:val="3A4A28"/>
          <w:sz w:val="20"/>
        </w:rPr>
        <w:t>Continued margin expansion toward 15%+ profit margins as subscription mix increases and operating leverage improves</w:t>
      </w:r>
    </w:p>
    <w:p>
      <w:pPr>
        <w:spacing w:before="40" w:after="40"/>
        <w:ind w:left="283"/>
      </w:pPr>
      <w:r>
        <w:rPr>
          <w:rFonts w:ascii="Calibri" w:hAnsi="Calibri"/>
          <w:b/>
          <w:color w:val="4A6B25"/>
          <w:sz w:val="20"/>
        </w:rPr>
        <w:t xml:space="preserve">3. </w:t>
      </w:r>
      <w:r>
        <w:rPr>
          <w:rFonts w:ascii="Calibri" w:hAnsi="Calibri"/>
          <w:b w:val="0"/>
          <w:color w:val="3A4A28"/>
          <w:sz w:val="20"/>
        </w:rPr>
        <w:t>Potential M&amp;A target given clean balance sheet, $802M ARR, and significant discount to SaaS peer valuations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PEG ratio of 8.35 suggests market skepticism about sustaining recent EPS growth trajectory beyond profitability inflection</w:t>
      </w:r>
    </w:p>
    <w:p>
      <w:pPr>
        <w:spacing w:before="40" w:after="40"/>
        <w:ind w:left="283"/>
      </w:pPr>
      <w:r>
        <w:rPr>
          <w:rFonts w:ascii="Calibri" w:hAnsi="Calibri"/>
          <w:b/>
          <w:color w:val="4A6B25"/>
          <w:sz w:val="20"/>
        </w:rPr>
        <w:t xml:space="preserve">2. </w:t>
      </w:r>
      <w:r>
        <w:rPr>
          <w:rFonts w:ascii="Calibri" w:hAnsi="Calibri"/>
          <w:b w:val="0"/>
          <w:color w:val="3A4A28"/>
          <w:sz w:val="20"/>
        </w:rPr>
        <w:t>Employee satisfaction declining with Glassdoor scores at 3.1-3.4, risking talent retention in competitive Austin tech market</w:t>
      </w:r>
    </w:p>
    <w:p>
      <w:pPr>
        <w:spacing w:before="40" w:after="40"/>
        <w:ind w:left="283"/>
      </w:pPr>
      <w:r>
        <w:rPr>
          <w:rFonts w:ascii="Calibri" w:hAnsi="Calibri"/>
          <w:b/>
          <w:color w:val="4A6B25"/>
          <w:sz w:val="20"/>
        </w:rPr>
        <w:t xml:space="preserve">3. </w:t>
      </w:r>
      <w:r>
        <w:rPr>
          <w:rFonts w:ascii="Calibri" w:hAnsi="Calibri"/>
          <w:b w:val="0"/>
          <w:color w:val="3A4A28"/>
          <w:sz w:val="20"/>
        </w:rPr>
        <w:t>FIS and Fiserv investing billions in AI-native banking platforms that could commoditize Q2's mid-market digital banking differentiation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Q2 is a clear AI beneficiary rather than a victim. The company has embedded AI across its product stack — Q2 Code accelerates partner development, AI-driven fraud detection with UAM/REM addresses the $10B+ annual account takeover market, and the digital banking platform leverages AI for personalization and workflow automation [3]. With 83% of banks increasing AI budgets and only 16% having coherent strategies, Q2's position as an AI infrastructure provider for community banks creates significant tailwind [3][4]. The primary risk is execution: larger competitors like FIS and Fiserv have deeper AI R&amp;D budgets, but Q2's specialization in mid-market institutions provides a defensible niche.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Q2 Holdings Q1 FY2026 Earnings Release and Earnings Call, April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QTWO key statistics,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Q2 Holdings AI product announcements (Q2 Code, UAM/REM fraud tools), April 2026</w:t>
      </w:r>
    </w:p>
    <w:p>
      <w:pPr>
        <w:spacing w:before="20" w:after="20"/>
        <w:ind w:left="170"/>
      </w:pPr>
      <w:r>
        <w:rPr>
          <w:rFonts w:ascii="Calibri" w:hAnsi="Calibri"/>
          <w:b/>
          <w:color w:val="4A6B25"/>
          <w:sz w:val="15"/>
        </w:rPr>
        <w:t xml:space="preserve">4. </w:t>
      </w:r>
      <w:r>
        <w:rPr>
          <w:rFonts w:ascii="Calibri" w:hAnsi="Calibri"/>
          <w:b w:val="0"/>
          <w:color w:val="3A4A28"/>
          <w:sz w:val="17"/>
        </w:rPr>
        <w:t>Glassdoor — Q2 Software employee reviews and CEO approval, accessed May 2026</w:t>
      </w:r>
    </w:p>
    <w:p>
      <w:pPr>
        <w:spacing w:before="20" w:after="20"/>
        <w:ind w:left="170"/>
      </w:pPr>
      <w:r>
        <w:rPr>
          <w:rFonts w:ascii="Calibri" w:hAnsi="Calibri"/>
          <w:b/>
          <w:color w:val="4A6B25"/>
          <w:sz w:val="15"/>
        </w:rPr>
        <w:t xml:space="preserve">5. </w:t>
      </w:r>
      <w:r>
        <w:rPr>
          <w:rFonts w:ascii="Calibri" w:hAnsi="Calibri"/>
          <w:b w:val="0"/>
          <w:color w:val="3A4A28"/>
          <w:sz w:val="17"/>
        </w:rPr>
        <w:t>Q2 Holdings 2023 ESG Report and company leadership page</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