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QURE</w:t>
      </w:r>
      <w:r>
        <w:rPr>
          <w:rFonts w:ascii="Calibri" w:hAnsi="Calibri"/>
          <w:b/>
          <w:color w:val="1A2010"/>
          <w:sz w:val="40"/>
        </w:rPr>
        <w:t xml:space="preserve">  uniQure N.V.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16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NMS · Netherlands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uniQure N.V. is a gene therapy leader focused on hemophilia B (HEMGENIX, FDA-approved), Huntington's disease (AMT-130), and Fabry disease (AMT-191). Over 75 patients across eight countries have received HEMGENIX in real-world use.</w:t>
      </w:r>
    </w:p>
    <w:p>
      <w:r>
        <w:rPr>
          <w:rFonts w:ascii="Calibri" w:hAnsi="Calibri"/>
          <w:b/>
          <w:color w:val="6E8450"/>
          <w:sz w:val="18"/>
        </w:rPr>
        <w:t>221 Employees · https://www.uniqure.com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HEMGENIX for hemophilia B is FDA-approved and commercially launched, with five-year HOPE-B data published in NEJM confirming long-term durability — mean factor IX activity ~36.1% and ~90% reduction in bleeding rate [1]. Over 75 patients treated across 8 countries validates real-world execution. AI Deployment (0/2): No AI products or AI-driven operations reported. Market Share (2/2): Category leader in hemophilia B gene therapy with the only approved AAV-based gene therapy for the indication, defining the treatment paradigm [1]. Pipeline (2/2): AMT-130 for Huntington's disease and AMT-191 for Fabry disease provide specific next-gen pipeline with regulatory visibility [1]. R&amp;D Intensity (1/1): R&amp;D spending is significant relative to revenue, well above biotech average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Specific and thoughtful mission to deliver transformative one-time gene therapies that fundamentally change patients' lives — clearly intentional and differentiated from generic pharma statements [1]. Community Impact (1/2): Patient advocacy engagement and hemophilia community support programs. Employee Retention (0/2): Small team of 221 with no specific retention data available. Insider Buying (1/2): Some insider buying activity reported but not at significant levels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uniQure's financial profile reflects a commercial-stage biotech still far from profitability. Revenue of $16.1M in 2025 with a $199M net loss demonstrates HEMGENIX is generating modest revenue but cannot support the cost structure [1]. D/E of 269.8% is elevated for biotech. However, $622.5M cash provides runway into H2 2029. ROE deeply negative at -207.1% and profit margin is negative. Liquidity floor cleared at $57.7M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uniQure demonstrates genuine infinite game thinking through its commitment to transformative one-time gene therapies that cure rather than treat chronic diseases. The Just Cause is authentic — fundamentally changing patient outcomes through genetic medicine — and leadership has shown courage investing through years of pre-revenue development.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cause, partially lived (2 pts → 7/10): The vision of curing genetic diseases through one-time gene therapies is a genuine Just Cause that connects to something bigger than quarterly revenue. HEMGENIX validates this through real-world patient outcomes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pt → 6/10): Small, specialized team of 221 employees with scientific leadership. No major cultural concerns, though the company has undergone restructuring to focus resources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mindset (1 pt → 10/10): uniQure acknowledges competitors like BioMarin and Spark Therapeutics, using competitive dynamics to improve its own gene therapy platform and clinical development approach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 → 6/10): The company has expanded from hemophilia into Huntington's disease and Fabry disease, showing willingness to extend the gene therapy platform to new indications based on scientific opportunity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Invested for over a decade in gene therapy development before generating meaningful revenue, maintaining the scientific vision through multiple market cycles and investor skepticism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uniQure is a gene therapy pioneer with the only FDA-approved AAV gene therapy for hemophilia B (HEMGENIX), demonstrating five-year durability data with ~90% bleeding rate reduction [1]. The company holds $622.5M cash providing runway into H2 2029, de-risking the AMT-130 (Huntington's) and AMT-191 (Fabry) pipeline development. Over 75 patients treated globally validates the real-world clinical and commercial pathway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significant: HEMGENIX revenue of just $16.1M in 2025 against a $199M net loss shows the approved product is not yet commercially successful at scale [1]. Gene therapy commercialization faces pricing pressure, payer resistance, and a small addressable hemophilia B patient population. D/E of 269.8% and deeply negative ROE indicate the company remains dependent on capital markets despite having an approved product. Pipeline risk is high — AMT-130 for Huntington's is in a highly competitive and historically difficult therapeutic area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AMT-130 Huntington's disease clinical data readouts could transform the company's pipeline value and addressable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HEMGENIX commercial acceleration through expanded access in additional countries and growing physician adoption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Gene therapy regulatory and manufacturing advances reducing production costs and improving patient access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HEMGENIX commercial underperformance — $16.1M revenue suggests slow adoption despite FDA approval, risking cash burn acceleration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Pipeline failure risk — AMT-130 for Huntington's disease is in a historically difficult therapeutic area with high clinical failure rates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Capital markets dependence — despite $622.5M cash, continued losses of ~$200M/year may require additional dilutive financing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Gene therapy development and manufacturing involves highly regulated biological processes that AI cannot easily substitute — manufacturing AAV vectors requires specialized facilities and biological expertise [1]. However, AI tools are accelerating drug discovery and could benefit competitors. The regulatory moat (FDA-approved gene therapies) provides meaningful protection. AI Opportunity (1/1): AI is being used across the biotech industry for target identification, clinical trial optimization, and manufacturing process improvement, and uniQure benefits from these industry-wide advances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16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uniQure 2025 Annual Results — $16.1M revenue, $199M net loss, $622.5M cash, HEMGENIX 75+ patients treated,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NEJM Publication — HEMGENIX five-year HOPE-B results, factor IX activity ~36.1%, December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QURE (uniQure),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