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RARE</w:t>
      </w:r>
      <w:r>
        <w:rPr>
          <w:rFonts w:ascii="Calibri" w:hAnsi="Calibri"/>
          <w:b/>
          <w:color w:val="1A2010"/>
          <w:sz w:val="40"/>
        </w:rPr>
        <w:t xml:space="preserve">  Ultragenyx Pharmaceutical Inc.</w:t>
      </w:r>
    </w:p>
    <w:p>
      <w:pPr>
        <w:spacing w:after="120"/>
      </w:pPr>
      <w:r>
        <w:rPr>
          <w:rFonts w:ascii="Calibri" w:hAnsi="Calibri"/>
          <w:b/>
          <w:color w:val="6E8450"/>
          <w:sz w:val="18"/>
        </w:rPr>
        <w:t>GROWTH SLEEVE · 2026-04-11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Ultragenyx Pharmaceutical Inc. is a biopharmaceutical company focused on developing novel therapies for serious rare and ultra-rare diseases. The company markets four approved products — Crysvita (X-linked hypophosphatemia), Dojolvi (long-chain fatty acid oxidation disorders), Evkeeza (homozygous familial hypercholesterolemia), and Mepsevii (MPS VII) — and has a gene therapy pipeline targeting GSD Ia, MPS IIIA, Angelman syndrome, and Wilson disease.</w:t>
      </w:r>
    </w:p>
    <w:p>
      <w:r>
        <w:rPr>
          <w:rFonts w:ascii="Calibri" w:hAnsi="Calibri"/>
          <w:b/>
          <w:color w:val="6E8450"/>
          <w:sz w:val="18"/>
        </w:rPr>
        <w:t>1,170 Employees · https://www.ultragenyx.com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Ultragenyx has expanded from a single-product company (Crysvita) into a four-product rare disease platform with a differentiated gene therapy pipeline, and Evkeeza revenue grew 84% YoY in 2025 demonstrating successful commercial execution of newer launches [1]. AI Deployment (0/2): No AI-powered products or quantified AI-driven operational savings; the company's innovation is rooted in traditional drug development and gene therapy rather than AI applications. Market Share Leadership (1/2): Ultragenyx holds dominant positions in ultra-rare disease niches — Crysvita is the standard of care for X-linked hypophosphatemia ($481M revenue), and Dojolvi is the only approved treatment for LCHADD/TFP deficiency — but these are niche markets by definition [1]. Product Pipeline (2/2): Specific next-generation products with clear timelines: DTX401 gene therapy for GSD Ia with PDUFA decision expected Q3 2026, GTX-102 for Angelman syndrome with pivotal Phase 3 data expected H2 2026, and UX111 for MPS IIIA with BLA resubmitted in January 2026 [1]. R&amp;D Intensity (1/1): R&amp;D spending of $750M on $673M revenue represents 111% R&amp;D intensity — among the highest in the pharmaceutical industry and well above peer biotechs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Founder-CEO Dr. Emil Kakkis is a physician-scientist who dedicated his career to developing treatments for ultra-rare diseases that most pharmaceutical companies ignore because patient populations are too small to be commercially attractive. Ultragenyx's purpose — bringing treatments to patients with the rarest diseases — is specific, deeply intentional, and has guided every strategic decision from founding in 2010 through the current four-product portfolio and gene therapy pipeline [2]. Community Impact (1/2): The 2024 Impact Report underscores commitment to rare disease patients and communities; the company's core mission IS its community impact for patients who previously had no treatment options, though specific charitable dollar amounts beyond drug development are not disclosed [4]. Employee Retention (0/2): Glassdoor rating of 3.6/5 is adequate, but reviews describe CEO Kakkis as having 'cultivated a culture of domination and fear' with 'fear-based leadership and huge attrition problem' — a significant red flag for organizational health [2]. Insider Buying (0/2): Net insider selling in 2025-2026, with CFO Howard Horn selling $362K in shares and insider John Pinion selling $229K at $22.80 in March 2026; no meaningful insider buying by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Ultragenyx's infrastructure reflects a growth-stage biotech transitioning toward profitability but still burning significant cash. Revenue of $673M grew 20% YoY in 2025 with strong 5-year CAGR of approximately 18%, driven by Crysvita ($481M) and accelerating Evkeeza ($59M, +84%) [1]. However, the company posted a $575M net loss with -85% profit margin and deeply negative ROE, reflecting the heavy R&amp;D investment model ($750M in R&amp;D alone). Cash of $737M against $466M annual operating cash burn provides roughly 18 months of runway before the targeted 2027 profitability inflection [1]. The 10% workforce restructuring and planned 38% R&amp;D expense reduction by 2027 represent a credible path to breakeven, but execution risk is substantial. Forward P/E of 288x reflects minimal near-term earnings expectations. The PEG ratio of 0.54 is attractive if the long-term growth trajectory materializes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Ultragenyx embodies a powerful Just Cause — treating the untreatable in ultra-rare disease — that is deeply embedded in founder-CEO Kakkis's physician-scientist identity. However, the fear-based leadership culture described by employees directly contradicts the trusting teams foundation that Sinek considers essential for infinite game success, and the securities class action lawsuit and failed setrusumab trials test whether the organization can maintain its cause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Dr. Kakkis founded Ultragenyx to develop treatments for patients with ultra-rare diseases that the pharmaceutical industry ignores because the populations are too small to generate blockbuster returns. This is a textbook Just Cause — idealistic (a world where every rare disease has a treatment), service-oriented (benefiting the most vulnerable patients), inclusive (inviting researchers and caregivers to contribute), and validated by 15+ years of consistent execution from founding through four approved products and a gene therapy pipeline targeting diseases with no alternatives [2]. Sinek would cite this as exemplary purpose-driven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the inspiring mission, Glassdoor reviews paint a deeply troubling picture of the internal culture. Multiple employees describe CEO Kakkis as having 'cultivated a culture of domination and fear,' being 'openly critical of others' work to the point of humiliation,' with a 'huge attrition problem' and 'toxic' politics [2]. This is the antithesis of Sinek's Circle of Safety — employees appear to spend energy protecting themselves from the CEO rather than advancing the cause. A 3.6/5 Glassdoor rating for a mission-driven biotech that should attract purpose-motivated talent is a significant red flag.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Ultragenyx competes in the rare disease space alongside BioMarin, Alexion (AstraZeneca), and Sarepta, but the company's communications focus on its own pipeline uniqueness and orphan drug advantages rather than acknowledging competitors' strengths or using competitive tension as motivation for self-improvement. The ultra-rare focus positioning emphasizes market avoidance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Ultragenyx has evolved meaningfully from a small-molecule rare disease company to a multi-modality platform encompassing biologics, enzyme replacement, and gene therapy — the gene therapy pipeline (DTX401, UX111, GTX-102) represents a genuine strategic transformation [1]. The 2025 restructuring with 10% workforce reduction and planned 38% R&amp;D expense cut by 2027 shows willingness to restructure the business model, though these changes are driven by financial necessity rather than proactive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Kakkis has demonstrated genuine courage in pursuing ultra-rare diseases that larger pharma companies ignore — choosing a harder, less profitable path in service of underserved patients. Maintaining R&amp;D intensity at 111% of revenue while burning $466M annually requires conviction that short-term losses serve the long-term cause [1]. However, the failed setrusumab trials (stock fell 42%) and resulting securities lawsuit test whether this courage extends to transparent communication with investors about risk, and the restructuring suggests the high-spend model was unsustainable.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Ultragenyx is a mission-driven rare disease biotech with a compelling pipeline inflection approaching in 2026. Revenue grew 20% to $673M in 2025 led by Crysvita ($481M) and accelerating Evkeeza ($59M, +84%), with 2026 guidance of $730-760M before potential new product launches [1]. Three near-term catalysts could transform the investment case: DTX401 gene therapy PDUFA decision in Q3 2026, GTX-102 Angelman syndrome pivotal data in H2 2026, and UX111 BLA resubmission — if even one succeeds, it validates the gene therapy platform and opens new rare disease markets [1]. At $23.30 per share with a $2.3B market cap on $673M revenue, the stock prices in minimal pipeline success, creating asymmetric upside if the catalysts deliver.</w:t>
      </w:r>
    </w:p>
    <w:p>
      <w:pPr>
        <w:spacing w:after="120"/>
      </w:pPr>
      <w:r>
        <w:rPr>
          <w:rFonts w:ascii="Calibri" w:hAnsi="Calibri"/>
          <w:b w:val="0"/>
          <w:color w:val="3A4A28"/>
          <w:sz w:val="20"/>
        </w:rPr>
        <w:t>The bear case is substantial and multi-layered. Ultragenyx burns $466M in operating cash annually against $737M in reserves, providing roughly 18 months of runway to achieve the promised 2027 profitability — a tight timeline with zero margin for pipeline setbacks [1]. The catastrophic failure of both Phase III setrusumab studies in December 2025 (stock dropped 42%) led to a securities class action lawsuit and demonstrated the binary risk inherent in rare disease drug development [4]. CEO Kakkis's fear-based leadership style described by employees creates organizational fragility precisely when the company needs cohesive execution across a complex restructuring and multiple regulatory submissions [2]. Forward P/E of 288x on minimal earnings, deeply negative ROE of -608%, and net insider selling by the CFO and other executives signal that even those closest to the business see limited near-term upside at current prices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DTX401 gene therapy for GSD Ia PDUFA decision expected Q3 2026 — first potential gene therapy approval that would validate the platform and open a new revenue stream in an ultra-rare disease with no approved treatment [1]</w:t>
      </w:r>
    </w:p>
    <w:p>
      <w:pPr>
        <w:spacing w:before="40" w:after="40"/>
        <w:ind w:left="283"/>
      </w:pPr>
      <w:r>
        <w:rPr>
          <w:rFonts w:ascii="Calibri" w:hAnsi="Calibri"/>
          <w:b/>
          <w:color w:val="4A6B25"/>
          <w:sz w:val="20"/>
        </w:rPr>
        <w:t xml:space="preserve">2. </w:t>
      </w:r>
      <w:r>
        <w:rPr>
          <w:rFonts w:ascii="Calibri" w:hAnsi="Calibri"/>
          <w:b w:val="0"/>
          <w:color w:val="3A4A28"/>
          <w:sz w:val="20"/>
        </w:rPr>
        <w:t>GTX-102 Phase 3 Aspire study data for Angelman syndrome expected H2 2026 — a high-unmet-need neurological condition with significant commercial potential if the pivotal trial succeeds [1]</w:t>
      </w:r>
    </w:p>
    <w:p>
      <w:pPr>
        <w:spacing w:before="40" w:after="40"/>
        <w:ind w:left="283"/>
      </w:pPr>
      <w:r>
        <w:rPr>
          <w:rFonts w:ascii="Calibri" w:hAnsi="Calibri"/>
          <w:b/>
          <w:color w:val="4A6B25"/>
          <w:sz w:val="20"/>
        </w:rPr>
        <w:t xml:space="preserve">3. </w:t>
      </w:r>
      <w:r>
        <w:rPr>
          <w:rFonts w:ascii="Calibri" w:hAnsi="Calibri"/>
          <w:b w:val="0"/>
          <w:color w:val="3A4A28"/>
          <w:sz w:val="20"/>
        </w:rPr>
        <w:t>Strategic restructuring with 10% workforce reduction and planned 38% R&amp;D expense decrease by 2027, combined with revenue growth to $730-760M in 2026, creating a credible path to profitability inflection in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pipeline risk: the December 2025 setrusumab failure (42% stock drop) and resulting securities class action demonstrate that ultra-rare disease clinical trials can destroy shareholder value overnight, with DTX401, GTX-102, and UX111 each carrying similar failure risk [1][4]</w:t>
      </w:r>
    </w:p>
    <w:p>
      <w:pPr>
        <w:spacing w:before="40" w:after="40"/>
        <w:ind w:left="283"/>
      </w:pPr>
      <w:r>
        <w:rPr>
          <w:rFonts w:ascii="Calibri" w:hAnsi="Calibri"/>
          <w:b/>
          <w:color w:val="4A6B25"/>
          <w:sz w:val="20"/>
        </w:rPr>
        <w:t xml:space="preserve">2. </w:t>
      </w:r>
      <w:r>
        <w:rPr>
          <w:rFonts w:ascii="Calibri" w:hAnsi="Calibri"/>
          <w:b w:val="0"/>
          <w:color w:val="3A4A28"/>
          <w:sz w:val="20"/>
        </w:rPr>
        <w:t>Cash burn of $466M annually against $737M reserves provides less than 18 months of runway, creating potential for dilutive capital raises if 2027 profitability target is delayed by pipeline setbacks or restructuring execution failures [1]</w:t>
      </w:r>
    </w:p>
    <w:p>
      <w:pPr>
        <w:spacing w:before="40" w:after="40"/>
        <w:ind w:left="283"/>
      </w:pPr>
      <w:r>
        <w:rPr>
          <w:rFonts w:ascii="Calibri" w:hAnsi="Calibri"/>
          <w:b/>
          <w:color w:val="4A6B25"/>
          <w:sz w:val="20"/>
        </w:rPr>
        <w:t xml:space="preserve">3. </w:t>
      </w:r>
      <w:r>
        <w:rPr>
          <w:rFonts w:ascii="Calibri" w:hAnsi="Calibri"/>
          <w:b w:val="0"/>
          <w:color w:val="3A4A28"/>
          <w:sz w:val="20"/>
        </w:rPr>
        <w:t>Fear-based organizational culture under CEO Kakkis with reported 'huge attrition problem' may impair the company's ability to execute a complex restructuring while simultaneously managing multiple regulatory submissions and commercial launches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Ultragenyx's core business — developing, manufacturing, and distributing specialty pharmaceuticals and gene therapies for ultra-rare diseases — is structurally immune to AI displacement. Drug development requires years of physical clinical trials, FDA regulatory approval, biological manufacturing, and patient-specific treatment protocols that AI cannot substitute [1]. The ultra-rare disease market's small patient populations (often fewer than 10,000 worldwide), complex biology, and high regulatory barriers create multiple layers of AI-proof moats. While AI may assist in drug discovery timelines and clinical trial optimization, it cannot replace the physical drug, the manufacturing process, or the regulatory franchise. Rare disease orphan drug exclusivity provides additional protection from any AI-enabled competitor entry. AI Opportunity (0/1): No quantifiable AI-driven revenue; the company's R&amp;D approach remains rooted in traditional gene therapy and biologics development rather than AI-powered drug discovery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Ultragenyx Q4 and Full-Year 2025 Earnings Release and Corporate Update, February 12, 2026</w:t>
      </w:r>
    </w:p>
    <w:p>
      <w:pPr>
        <w:spacing w:before="20" w:after="20"/>
        <w:ind w:left="170"/>
      </w:pPr>
      <w:r>
        <w:rPr>
          <w:rFonts w:ascii="Calibri" w:hAnsi="Calibri"/>
          <w:b/>
          <w:color w:val="4A6B25"/>
          <w:sz w:val="15"/>
        </w:rPr>
        <w:t xml:space="preserve">2. </w:t>
      </w:r>
      <w:r>
        <w:rPr>
          <w:rFonts w:ascii="Calibri" w:hAnsi="Calibri"/>
          <w:b w:val="0"/>
          <w:color w:val="3A4A28"/>
          <w:sz w:val="17"/>
        </w:rPr>
        <w:t>Glassdoor — Ultragenyx Pharmaceutical Reviews and Leadership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MarketBeat and Daily Political — RARE Insider Trading Activity 2025-2026,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Ultragenyx Class Action Lawsuit Notice, April 2026; Setrusumab Trial Failure, December 2025</w:t>
      </w:r>
    </w:p>
    <w:p>
      <w:pPr>
        <w:spacing w:before="20" w:after="20"/>
        <w:ind w:left="170"/>
      </w:pPr>
      <w:r>
        <w:rPr>
          <w:rFonts w:ascii="Calibri" w:hAnsi="Calibri"/>
          <w:b/>
          <w:color w:val="4A6B25"/>
          <w:sz w:val="15"/>
        </w:rPr>
        <w:t xml:space="preserve">5. </w:t>
      </w:r>
      <w:r>
        <w:rPr>
          <w:rFonts w:ascii="Calibri" w:hAnsi="Calibri"/>
          <w:b w:val="0"/>
          <w:color w:val="3A4A28"/>
          <w:sz w:val="17"/>
        </w:rPr>
        <w:t>Nasdaq.com — RARE PEG Ratio and Valuation Metrics,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