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RBA</w:t>
      </w:r>
      <w:r>
        <w:rPr>
          <w:rFonts w:ascii="Calibri" w:hAnsi="Calibri"/>
          <w:b/>
          <w:color w:val="1A2010"/>
          <w:sz w:val="40"/>
        </w:rPr>
        <w:t xml:space="preserve">  RB Global, Inc.</w:t>
      </w:r>
    </w:p>
    <w:p>
      <w:pPr>
        <w:spacing w:after="120"/>
      </w:pPr>
      <w:r>
        <w:rPr>
          <w:rFonts w:ascii="Calibri" w:hAnsi="Calibri"/>
          <w:b/>
          <w:color w:val="6E8450"/>
          <w:sz w:val="18"/>
        </w:rPr>
        <w:t>GROWTH SLEEVE · 2026-04-26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Canada</w:t>
      </w:r>
    </w:p>
    <w:p>
      <w:pPr>
        <w:spacing w:after="80"/>
      </w:pPr>
      <w:r>
        <w:rPr>
          <w:rFonts w:ascii="Calibri" w:hAnsi="Calibri"/>
          <w:b w:val="0"/>
          <w:color w:val="3A4A28"/>
          <w:sz w:val="20"/>
        </w:rPr>
        <w:t>RB Global (formerly Ritchie Bros. Auctioneers) is the world's largest commercial asset marketplace operator, running live and online auctions, private sales, and insurance salvage auctions for heavy equipment, vehicles, and industrial assets. The 2023 merger with IAA created a combined platform spanning construction equipment (Ritchie Bros.) and insurance auto salvage (IAA), serving buyers and sellers across 15+ countries.</w:t>
      </w:r>
    </w:p>
    <w:p>
      <w:r>
        <w:rPr>
          <w:rFonts w:ascii="Calibri" w:hAnsi="Calibri"/>
          <w:b/>
          <w:color w:val="6E8450"/>
          <w:sz w:val="18"/>
        </w:rPr>
        <w:t>8,000 Employees · https://www.rbglobal.com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2023 IAA merger doubled RB Global's revenue from $1.73B to $3.68B and created a diversified asset marketplace spanning heavy equipment and insurance salvage [1]. FY2025 revenue grew 7.2% to $4.59B, with Q4 construction equipment GTV up 9% [1]. However, full-year construction equipment GTV declined 2%, showing uneven execution in the core business. AI Deployment (1/2): RB Global uses data analytics and digital tools to enhance marketplace efficiency — online auction participation, pricing algorithms, and buyer matching — but no quantified AI savings or AI-powered products have been disclosed [2]. Market Share (2/2): RB Global is the undisputed global leader in commercial asset auctions, with the Ritchie Bros. brand dominant in heavy equipment and IAA leading in insurance auto salvage [1]. The combined platform creates an unmatched buyer network and transaction scale. Pipeline (0/2): No specific next-generation products with launch dates; 2026 guidance of 5-8% GTV growth and $1.47-1.53B adjusted EBIT is incremental rather than transformative [1]. R&amp;D Intensity (1/1): Meaningful investment in digital marketplace technology, data analytics, and platform integration relative to the specialty services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RB Global describes its purpose as connecting buyers and sellers of commercial assets through trusted marketplaces. This is clear and identifies customer value but does not articulate a deeper purpose beyond enabling efficient transactions [2]. CEO Jim Kessler's stated focus on 'setting the right foundation for growth for another 50-plus years' signals long-term thinking but is not a transformative Just Cause. Community Impact (1/2): RB Global employs 8,000 people across 15+ countries and facilitates economic activity in the used equipment market, enabling construction firms, trucking companies, and insurers to efficiently manage asset lifecycles. No specific charitable or community programs with dollar amounts were found [2]. Employee Retention (1/2): The leadership restructuring in 2025 suggests organizational evolution, not instability — Kessler's deliberate focus on team structure and brand-specific execution teams indicates cultural intentionality. The company emphasizes respect, inclusion, and growth opportunity [2]. Insider Buying (2/2): Kessler and other executives maintain significant equity exposure with aligned incentive structures. The company's shareholder-friendly capital allocation (dividends since 2003, buyback program) signals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RB Global's financial profile is solid with room for improvement on margins and ROE. Revenue of $4.59B with 7.2% YoY growth and post-merger 2-year CAGR of 11.7% demonstrates scaling [1]. D/E of 72.9% is near the 70% target — manageable for a company with $978M operating cash flow [4]. ROE of 7.3% is below the 15% target, depressed by goodwill from the IAA acquisition inflating the equity base. Forward P/E of 22x is slightly above the 20x target, and PEG of 0.87 indicates attractive valuation relative to growth expectations [4]. Profit margin of 9.3% is below the 20% target, reflecting integration costs and the asset-light marketplace model's revenue recognition. Forward EPS of $4.85 vs trailing $2.04 implies significant margin expansion expected. Free cash flow of $786M on $4.59B revenue is strong at 17.1% FCF margin. Liquidity easily cleared: 1.39M avg volume × $106.75 = $148.9M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RB Global under CEO Jim Kessler demonstrates meaningful infinite game qualities — a 50+ year operating history, commitment to building marketplace infrastructure for another 50 years, and the transformative IAA merger that positions the company for long-term relevance. The 22 consecutive years of dividends and consistent focus on marketplace leadership signal endurance over short-term optimization. However, the recent leadership restructuring and integration challenges create some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RB Global's purpose — creating the world's trusted marketplace for commercial assets — has been validated by 50+ years of consistent execution through multiple economic cycles [2]. Kessler's explicit goal of 'setting the foundation for another 50-plus years' reflects infinite game thinking. The IAA merger extended this cause from heavy equipment to insurance salvage, broadening the marketplace vision. However, the cause is functional (efficient marketplaces) rather than transcendent.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leadership restructuring under Kessler was deliberate and strategic — empowering brand-specific go-to-market teams while maintaining unified executive leadership [2]. The company emphasizes respect, inclusion, and growth opportunity in its culture. With 8,000 employees across 15+ countries, maintaining cultural cohesion post-IAA merger is a challenge, and the restructuring suggests ongoing organizational evolution rather than settled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RB Global's competitive approach reflects an infinite mindset — the company acquired IAA rather than trying to 'beat' it, integrating a rival's strengths into its own platform [1]. Kessler's leadership restructuring empowers brand-specific teams, acknowledging that Ritchie Bros. and IAA serve different marketplaces with different competitive dynamics. The company focuses on marketplace excellence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IAA merger represents meaningful existential flexibility — RB Global transformed from a heavy equipment auction company into a diversified commercial asset marketplace, adding insurance salvage as an entirely new business line [1]. The evolution from physical-only auctions to hybrid physical/digital marketplaces shows adaptability. However, the company has not yet faced a true existential threat that required abandoning a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IAA acquisition was a courageous, transformative bet — RB Global took on significant debt ($4.4B total debt) to double its revenue and enter a new market (insurance salvage), despite investor skepticism and integration complexity [1][4]. Kessler's 2025 leadership restructuring demonstrates willingness to make difficult organizational changes to optimize for long-term growth. The 22-year dividend streak through multiple recessions shows consistent commitment to shareholder returns even when it costs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RB Global is the world's largest commercial asset marketplace with a dominant market position validated by 50+ years of operations and the transformative 2023 IAA merger [1]. FY2025 revenue of $4.59B (up 7.2%) with operating cash flow of $978M and FCF of $786M demonstrates strong cash generation. At PEG 0.87 and 22x forward P/E with forward EPS of $4.85 (vs trailing $2.04), the market is pricing significant earnings expansion as IAA integration synergies materialize [4]. 2026 guidance of 5-8% GTV growth and $1.47-1.53B adjusted EBIT shows continued execution. The buyer-seller network effects, 22-year dividend streak, and physical infrastructure create durable competitive advantages. The heavy equipment cycle is positioned for recovery driven by infrastructure spending and construction activity [1].</w:t>
      </w:r>
    </w:p>
    <w:p>
      <w:pPr>
        <w:spacing w:after="120"/>
      </w:pPr>
      <w:r>
        <w:rPr>
          <w:rFonts w:ascii="Calibri" w:hAnsi="Calibri"/>
          <w:b w:val="0"/>
          <w:color w:val="3A4A28"/>
          <w:sz w:val="20"/>
        </w:rPr>
        <w:t>The bear case centers on integration execution and margin compression. Trailing P/E of 52.3x reflects depressed current earnings — if the forward EPS jump to $4.85 does not materialize, the stock is significantly overvalued [4]. D/E of 72.9% reflects the IAA acquisition debt load ($4.4B), and any earnings disappointment would increase leverage concerns. ROE of 7.3% is below the 15% target, weighed down by acquisition goodwill. Profit margin of 9.3% remains below potential, suggesting IAA integration synergies are still work-in-progress. Full-year construction equipment GTV declined 2% in 2025, raising questions about organic growth momentum [1]. The company faces cyclical risk — used equipment values and transaction volumes decline during economic downturns, though the insurance salvage business (IAA) provides countercyclical diversification. Management turnover (CEO change in 2023, leadership restructuring in 2025) creates organizational distraction during a critical integration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IAA integration synergy realization — forward EPS of $4.85 vs trailing $2.04 implies 138% earnings growth, driven by cost synergies, cross-selling, and operational efficiency improvements [4]</w:t>
      </w:r>
    </w:p>
    <w:p>
      <w:pPr>
        <w:spacing w:before="40" w:after="40"/>
        <w:ind w:left="283"/>
      </w:pPr>
      <w:r>
        <w:rPr>
          <w:rFonts w:ascii="Calibri" w:hAnsi="Calibri"/>
          <w:b/>
          <w:color w:val="4A6B25"/>
          <w:sz w:val="20"/>
        </w:rPr>
        <w:t xml:space="preserve">2. </w:t>
      </w:r>
      <w:r>
        <w:rPr>
          <w:rFonts w:ascii="Calibri" w:hAnsi="Calibri"/>
          <w:b w:val="0"/>
          <w:color w:val="3A4A28"/>
          <w:sz w:val="20"/>
        </w:rPr>
        <w:t>2026 guidance of 5-8% GTV growth and $1.47-1.53B adjusted EBIT provides a clear execution path with potential for upside from infrastructure spending tailwinds [1]</w:t>
      </w:r>
    </w:p>
    <w:p>
      <w:pPr>
        <w:spacing w:before="40" w:after="40"/>
        <w:ind w:left="283"/>
      </w:pPr>
      <w:r>
        <w:rPr>
          <w:rFonts w:ascii="Calibri" w:hAnsi="Calibri"/>
          <w:b/>
          <w:color w:val="4A6B25"/>
          <w:sz w:val="20"/>
        </w:rPr>
        <w:t xml:space="preserve">3. </w:t>
      </w:r>
      <w:r>
        <w:rPr>
          <w:rFonts w:ascii="Calibri" w:hAnsi="Calibri"/>
          <w:b w:val="0"/>
          <w:color w:val="3A4A28"/>
          <w:sz w:val="20"/>
        </w:rPr>
        <w:t>Construction equipment cycle recovery — after full-year GTV decline of 2% in 2025, Q4 rebound (GTV +9%) suggests improving fundamentals heading into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IAA integration execution — failure to achieve expected synergies would leave the stock trading at an unjustifiable 52x trailing P/E with $4.4B in acquisition debt [4]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 economic downturn would compress used equipment values and auction volumes, pressuring both revenue and GTV in the core Ritchie Bros. business [1]</w:t>
      </w:r>
    </w:p>
    <w:p>
      <w:pPr>
        <w:spacing w:before="40" w:after="40"/>
        <w:ind w:left="283"/>
      </w:pPr>
      <w:r>
        <w:rPr>
          <w:rFonts w:ascii="Calibri" w:hAnsi="Calibri"/>
          <w:b/>
          <w:color w:val="4A6B25"/>
          <w:sz w:val="20"/>
        </w:rPr>
        <w:t xml:space="preserve">3. </w:t>
      </w:r>
      <w:r>
        <w:rPr>
          <w:rFonts w:ascii="Calibri" w:hAnsi="Calibri"/>
          <w:b w:val="0"/>
          <w:color w:val="3A4A28"/>
          <w:sz w:val="20"/>
        </w:rPr>
        <w:t>ROE compression from acquisition goodwill — 7.3% ROE may not recover to peer levels, suggesting the IAA merger premium was too high relative to the value created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RB Global's core business — physical asset auctions (heavy equipment, vehicles, salvage) — has significant defensive moats against AI disruption. The buyer-seller network effects, physical inspection/logistics infrastructure, trusted brand reputation (50+ years), and regulatory relationships in insurance salvage create barriers that AI cannot easily replicate [1]. However, AI could partially disrupt the marketplace model: AI-powered pricing tools could reduce information asymmetry that auction platforms profit from, and AI-driven direct matching platforms could disintermediate traditional auction channels. The business is fundamentally physical (equipment must be inspected, transported, and transferred) which provides structural protection [2]. AI Opportunity (1/1): RB Global uses AI and data analytics to enhance marketplace efficiency — pricing algorithms, buyer matching, condition assessment tools, and digital auction optimization. These generate quantifiable value through higher marketplace volume and better buyer-seller matching, though specific AI revenue is not broken 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Equipment World / Companies Market Cap — RB Global Q4 2025 and FY2025 results, construction equipment GTV trends,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Digital Commerce 360 / Business Wire — RB Global leadership restructuring, CEO Jim Kessler strategic vision, brand-specific marketplace model, September 2025</w:t>
      </w:r>
    </w:p>
    <w:p>
      <w:pPr>
        <w:spacing w:before="20" w:after="20"/>
        <w:ind w:left="170"/>
      </w:pPr>
      <w:r>
        <w:rPr>
          <w:rFonts w:ascii="Calibri" w:hAnsi="Calibri"/>
          <w:b/>
          <w:color w:val="4A6B25"/>
          <w:sz w:val="15"/>
        </w:rPr>
        <w:t xml:space="preserve">3. </w:t>
      </w:r>
      <w:r>
        <w:rPr>
          <w:rFonts w:ascii="Calibri" w:hAnsi="Calibri"/>
          <w:b w:val="0"/>
          <w:color w:val="3A4A28"/>
          <w:sz w:val="17"/>
        </w:rPr>
        <w:t>RB Global ESG Report 2023 — Environmental, Social, and Governance framework, company history,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RBA key statistics, financial metrics, dividend history,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