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RBLX</w:t>
      </w:r>
      <w:r>
        <w:rPr>
          <w:rFonts w:ascii="Calibri" w:hAnsi="Calibri"/>
          <w:b/>
          <w:color w:val="1A2010"/>
          <w:sz w:val="40"/>
        </w:rPr>
        <w:t xml:space="preserve">  Roblox Corporation</w:t>
      </w:r>
    </w:p>
    <w:p>
      <w:pPr>
        <w:spacing w:after="120"/>
      </w:pPr>
      <w:r>
        <w:rPr>
          <w:rFonts w:ascii="Calibri" w:hAnsi="Calibri"/>
          <w:b/>
          <w:color w:val="6E8450"/>
          <w:sz w:val="18"/>
        </w:rPr>
        <w:t>GROWTH SLEEVE · 2026-03-27 · Inspire: -81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Electronic Gaming &amp; Multimedia · NYSE · United States</w:t>
      </w:r>
    </w:p>
    <w:p>
      <w:pPr>
        <w:spacing w:after="80"/>
      </w:pPr>
      <w:r>
        <w:rPr>
          <w:rFonts w:ascii="Calibri" w:hAnsi="Calibri"/>
          <w:b w:val="0"/>
          <w:color w:val="3A4A28"/>
          <w:sz w:val="20"/>
        </w:rPr>
        <w:t>Roblox Corporation operates a global platform enabling users to create, share, and experience 3D immersive content. With 144 million daily active users (69% YoY growth), the platform serves as both a gaming and social experience primarily for children and young adults. The company monetizes through its virtual currency Robux and creator marketplace.</w:t>
      </w:r>
    </w:p>
    <w:p>
      <w:r>
        <w:rPr>
          <w:rFonts w:ascii="Calibri" w:hAnsi="Calibri"/>
          <w:b/>
          <w:color w:val="6E8450"/>
          <w:sz w:val="18"/>
        </w:rPr>
        <w:t>3,065 Employees · https://corp.roblox.com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Roblox's user-generated content platform represents genuine platform innovation — 144 million DAUs create and consume millions of experiences without Roblox developing content directly [1]. The company is expanding AI tools for creators (AI-powered 3D generation, natural language coding), pushing into 18+ markets growing at 50%+ YoY, and achieving 96% APAC revenue growth with standout performance in Japan (+160%), India (+110%), and Indonesia (+700%) [1]. Creators earned $1.5B+ in 2025, validating the platform's economic flywheel.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David Baszucki's vision of building the 'metaverse' provides a compelling long-term narrative, but the company's inspiration score is severely damaged by the child safety crisis — 132 consolidated federal lawsuits, state AG suits from Texas, Iowa, Tennessee, Nebraska, and others, and LA County's characterization of Roblox as a 'breeding ground for predators' [3]. A Chris Hansen documentary 'Dangerous Games: Investigating Roblox' (February 2026) and 800 parents' joint letter to the board represent a serious reputational crisis that undermines any inspirational mission.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Roblox demonstrates explosive top-line growth — revenue of $4.89B (up 43% YoY) and bookings of $2.2B in Q4 alone (up 63%) — but profitability remains elusive with a -21.8% profit margin, D/E of 480.7%, and $1.13B in annual stock-based compensation that masks true economic losses [1][2]. The forward P/E is negative, and Morningstar notes shares 'look far too rich' [2]. Free cash flow guidance of ~26% growth in 2026 is encouraging, but GAAP profitability may be years away given ongoing safety investments and infrastructure spending.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Roblox shows mixed infinite-game orientation: the long-term platform vision of connecting billions of users in shared 3D experiences represents genuine infinite thinking, but the company's failure to adequately protect its predominantly child user base reveals a dangerous prioritization of growth metrics over stakeholder safety. The 132 child exploitation lawsuits represent a fundamental failure of trusting teams and courage to lead.</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Baszucki's vision of 'connecting a billion people with optimism and civility' is aspirational but rings hollow against the backdrop of 132 child exploitation lawsuits and characterizations of the platform as a 'breeding ground for predators' [3]. The gap between stated mission and user safety outcomes represents a significant just cause credibility gap.</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Roblox's creator community of millions represents a form of distributed trust, with $1.5B+ in creator payouts validating the economic partnership [1]. However, the company's 3,065 employees face increasing pressure from safety investments, regulatory scrutiny, and public backlash. The 800-parent letter demanding Roblox stop forcing child exploitation victims into 'secret arbitration' suggests trust has broken down with key stakeholders [3].</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Roblox competes with Fortnite/Epic Games, Minecraft/Microsoft, and emerging UGC platforms. The company's expansion into 18+ content and APAC markets shows competitive awareness, but the child safety crisis represents a unique vulnerability that rivals have not faced to the same degree.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Roblox's push into 18+ markets (50%+ growth rate, 40% higher monetization), international expansion, and AI creator tools demonstrates strategic flexibility beyond the original child gaming platform [1]. The company's willingness to invest in age verification and safety systems, while late, shows adaptability.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Roblox's response to the child safety crisis has been reactive rather than proactive — implementing age verification and safety measures only after lawsuits and regulatory pressure mounted, not before [3]. Verified accounts being sold on eBay for $5 within days of the age verification mandate suggests inadequate implementation. The company's attempt to force child exploitation victims into arbitration demonstrates a prioritization of legal strategy over moral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Roblox is building the dominant user-generated content platform with extraordinary growth metrics: 144M DAUs (+69% YoY), $4.89B revenue (+43% YoY), bookings growing 55%, and the 18+ cohort expanding 50%+ with 40% higher monetization [1]. The company's 2026 guidance of 22-26% bookings growth and $2.0-2.17B in adjusted EBITDA suggests accelerating monetization and path toward cash flow generation. International expansion is inflecting — APAC grew 96% YoY with Indonesia up 700% — providing a long runway as the platform penetrates developing markets with younger demographics. At $38B market cap on $4.89B revenue, the valuation is premium but potentially justified by the platform's network effects and growth trajectory.</w:t>
      </w:r>
    </w:p>
    <w:p>
      <w:pPr>
        <w:spacing w:after="120"/>
      </w:pPr>
      <w:r>
        <w:rPr>
          <w:rFonts w:ascii="Calibri" w:hAnsi="Calibri"/>
          <w:b w:val="0"/>
          <w:color w:val="3A4A28"/>
          <w:sz w:val="20"/>
        </w:rPr>
        <w:t>The bear case is dominated by the child safety crisis: 132 consolidated federal lawsuits, suits from multiple state attorneys general, the LA County lawsuit, Brazil classifying Roblox as 18+ due to exploitative microtransactions, and bans on school computers in Argentina [3]. Settlement liability could reach hundreds of millions, and regulatory actions in the EU (Dutch DSA investigation), Philippines, and Latin America could restrict operations in key growth markets. Financially, the D/E of 480.7%, GAAP losses (-21.8% profit margin), and $1.13B annual stock-based compensation mean true profitability is distant despite strong bookings growth [1][2]. Morningstar's assessment that 'shares look far too rich' and the company's admission that margin expansion will be non-linear create downside risk at current valuations.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18+ market expansion reaching 50%+ DAU growth with 40% higher ARPDAU, diversifying revenue away from the under-13 demographic and associated regulatory risk [1]</w:t>
      </w:r>
    </w:p>
    <w:p>
      <w:pPr>
        <w:spacing w:before="40" w:after="40"/>
        <w:ind w:left="283"/>
      </w:pPr>
      <w:r>
        <w:rPr>
          <w:rFonts w:ascii="Calibri" w:hAnsi="Calibri"/>
          <w:b/>
          <w:color w:val="4A6B25"/>
          <w:sz w:val="20"/>
        </w:rPr>
        <w:t xml:space="preserve">2. </w:t>
      </w:r>
      <w:r>
        <w:rPr>
          <w:rFonts w:ascii="Calibri" w:hAnsi="Calibri"/>
          <w:b w:val="0"/>
          <w:color w:val="3A4A28"/>
          <w:sz w:val="20"/>
        </w:rPr>
        <w:t>Achieving 2026 adjusted EBITDA guidance of $2.0-2.17B, demonstrating operating leverage and a credible path toward GAAP profitability</w:t>
      </w:r>
    </w:p>
    <w:p>
      <w:pPr>
        <w:spacing w:before="40" w:after="40"/>
        <w:ind w:left="283"/>
      </w:pPr>
      <w:r>
        <w:rPr>
          <w:rFonts w:ascii="Calibri" w:hAnsi="Calibri"/>
          <w:b/>
          <w:color w:val="4A6B25"/>
          <w:sz w:val="20"/>
        </w:rPr>
        <w:t xml:space="preserve">3. </w:t>
      </w:r>
      <w:r>
        <w:rPr>
          <w:rFonts w:ascii="Calibri" w:hAnsi="Calibri"/>
          <w:b w:val="0"/>
          <w:color w:val="3A4A28"/>
          <w:sz w:val="20"/>
        </w:rPr>
        <w:t>Resolution of child safety litigation through comprehensive settlements and regulatory compliance that remove the legal overhang and restore platform reputation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Child safety litigation exposure — 132 federal MDL cases plus multiple state AG suits could result in billions in settlements, regulatory fines, and potentially platform-altering design mandates [3]</w:t>
      </w:r>
    </w:p>
    <w:p>
      <w:pPr>
        <w:spacing w:before="40" w:after="40"/>
        <w:ind w:left="283"/>
      </w:pPr>
      <w:r>
        <w:rPr>
          <w:rFonts w:ascii="Calibri" w:hAnsi="Calibri"/>
          <w:b/>
          <w:color w:val="4A6B25"/>
          <w:sz w:val="20"/>
        </w:rPr>
        <w:t xml:space="preserve">2. </w:t>
      </w:r>
      <w:r>
        <w:rPr>
          <w:rFonts w:ascii="Calibri" w:hAnsi="Calibri"/>
          <w:b w:val="0"/>
          <w:color w:val="3A4A28"/>
          <w:sz w:val="20"/>
        </w:rPr>
        <w:t>Regulatory restrictions in key growth markets — Brazil's 18+ classification, Dutch DSA investigation, Philippine enforcement actions, and Argentine school bans could limit access to the youngest and fastest-growing user cohorts [3]</w:t>
      </w:r>
    </w:p>
    <w:p>
      <w:pPr>
        <w:spacing w:before="40" w:after="40"/>
        <w:ind w:left="283"/>
      </w:pPr>
      <w:r>
        <w:rPr>
          <w:rFonts w:ascii="Calibri" w:hAnsi="Calibri"/>
          <w:b/>
          <w:color w:val="4A6B25"/>
          <w:sz w:val="20"/>
        </w:rPr>
        <w:t xml:space="preserve">3. </w:t>
      </w:r>
      <w:r>
        <w:rPr>
          <w:rFonts w:ascii="Calibri" w:hAnsi="Calibri"/>
          <w:b w:val="0"/>
          <w:color w:val="3A4A28"/>
          <w:sz w:val="20"/>
        </w:rPr>
        <w:t>Persistent GAAP unprofitability — $1.13B annual SBC, -21.8% profit margins, and D/E of 480.7% mean Roblox is economically losing money despite strong bookings growth, creating valuation risk if growth decelerates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a significant enabler for Roblox — the company is deploying AI to power creator tools (AI-assisted 3D environment generation, natural language coding for non-programmers), enhance content moderation and child safety systems, and optimize content recommendations [1]. The platform's UGC model means AI augments rather than replaces creator activity, and the massive user data flywheel (144M DAUs) creates proprietary training advantages. However, AI workloads are increasing infrastructure costs, and management has flagged 'heavier AI workloads' as a margin headwind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-81</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Exploitation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Roblox Q4 2025 Earnings Release and 2026 Guidance, February 5, 2026</w:t>
      </w:r>
    </w:p>
    <w:p>
      <w:pPr>
        <w:spacing w:before="20" w:after="20"/>
        <w:ind w:left="170"/>
      </w:pPr>
      <w:r>
        <w:rPr>
          <w:rFonts w:ascii="Calibri" w:hAnsi="Calibri"/>
          <w:b/>
          <w:color w:val="4A6B25"/>
          <w:sz w:val="15"/>
        </w:rPr>
        <w:t xml:space="preserve">2. </w:t>
      </w:r>
      <w:r>
        <w:rPr>
          <w:rFonts w:ascii="Calibri" w:hAnsi="Calibri"/>
          <w:b w:val="0"/>
          <w:color w:val="3A4A28"/>
          <w:sz w:val="17"/>
        </w:rPr>
        <w:t>Morningstar — 'Roblox Earnings: Exceptional User Growth Continues, but Monetization and Margin Expansion a Concern', February 2026</w:t>
      </w:r>
    </w:p>
    <w:p>
      <w:pPr>
        <w:spacing w:before="20" w:after="20"/>
        <w:ind w:left="170"/>
      </w:pPr>
      <w:r>
        <w:rPr>
          <w:rFonts w:ascii="Calibri" w:hAnsi="Calibri"/>
          <w:b/>
          <w:color w:val="4A6B25"/>
          <w:sz w:val="15"/>
        </w:rPr>
        <w:t xml:space="preserve">3. </w:t>
      </w:r>
      <w:r>
        <w:rPr>
          <w:rFonts w:ascii="Calibri" w:hAnsi="Calibri"/>
          <w:b w:val="0"/>
          <w:color w:val="3A4A28"/>
          <w:sz w:val="17"/>
        </w:rPr>
        <w:t>LA County Lawsuit — 'LA County Sues Roblox for Unfair and Deceptive Business Practices', February 19, 2026; ConsumerNotice — 'Roblox Child Exploitation Lawsuits Consolidated in Federal Court',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RBLX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