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RCKT</w:t>
      </w:r>
      <w:r>
        <w:rPr>
          <w:rFonts w:ascii="Calibri" w:hAnsi="Calibri"/>
          <w:b/>
          <w:color w:val="1A2010"/>
          <w:sz w:val="40"/>
        </w:rPr>
        <w:t xml:space="preserve">  Rocket Pharmaceuticals, Inc.</w:t>
      </w:r>
    </w:p>
    <w:p>
      <w:pPr>
        <w:spacing w:after="120"/>
      </w:pPr>
      <w:r>
        <w:rPr>
          <w:rFonts w:ascii="Calibri" w:hAnsi="Calibri"/>
          <w:b/>
          <w:color w:val="6E8450"/>
          <w:sz w:val="18"/>
        </w:rPr>
        <w:t>GROWTH SLEEVE · 2026-04-11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Rocket Pharmaceuticals, Inc. is a late-stage biotechnology company focused on developing gene therapies for rare and devastating diseases. The company's pipeline includes lentiviral (LV) programs for LAD-I, Fanconi Anemia, and PKD, and adeno-associated viral (AAV) programs for Danon disease, PKP2-ACM, and BAG3-DCM.</w:t>
      </w:r>
    </w:p>
    <w:p>
      <w:r>
        <w:rPr>
          <w:rFonts w:ascii="Calibri" w:hAnsi="Calibri"/>
          <w:b/>
          <w:color w:val="6E8450"/>
          <w:sz w:val="18"/>
        </w:rPr>
        <w:t>202 Employees · https://www.rocketpharma.com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Rocket has advanced KRESLADI (marne-cel) through BLA resubmission for LAD-I with FDA acceptance and expected approval March 28, 2026 — a potential first gene therapy cure for this rare immune disorder [1][3]. The company simultaneously advanced RP-A501 for Danon disease through Phase 2 before a clinical hold, and initiated Phase 1 for BAG3-DCM [1]. AI Deployment (0/2): No evidence of AI-powered drug development tools or AI-driven research with measurable results. Market Share Leadership (2/2): Rocket is developing first-in-class gene therapies for ultra-rare diseases with no approved alternatives — KRESLADI for LAD-I would be category-defining, and RP-A501 targets Danon disease where no treatment exists [1][3]. Product Pipeline (2/2): Specific pipeline with clear timelines: KRESLADI approval expected March 2026, RP-A501 Phase 2 pivotal trial resuming (pending clinical hold resolution), PKP2-ACM Phase 1, and BAG3-DCM preclinical/Phase 1 [1]. R&amp;D Intensity (0/1): As a pre-revenue gene therapy company, R&amp;D spending is the core activity, but this is standard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Rocket's mission to develop 'genetic therapies for rare and devastating diseases' is specific, purposeful, and connects scientific innovation to patient need — the focus on curing diseases like LAD-I (often fatal in childhood) and Danon disease (leading to early death from heart failure) carries genuine moral weight [3]. Community Impact (1/2): Inspire score of 39 with strong positive attributions across Customer Welfare, Product Safety, Product Access and Affordability, and Employee Wellbeing suggests meaningful alignment between the company's therapeutic mission and social impact. Employee Retention (0/2): Glassdoor reviews are mixed — some praise the 'startup spirit' where employees can 'make a difference' and executives know employees by name, while others cite 'lack of leadership and direction' and long hours without recognition [4]. Named Fast Company Most Innovative Company of 2024, but retention data is unavailable [4]. Insider Buying (1/2): CEO Gaurav Shah has led the company since 2018 with significant equity ownership, providing alignment, though the 37% stock crash in May 2025 following the RP-A501 clinical hold and subsequent securities lawsuit complicate the insider signal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Rocket's Infrastructure reflects its pre-commercial gene therapy status: zero revenue, zero profit margin, and deeply negative ROE of -60.3% driven by $190M annual operating cash burn against $188.9M in cash reserves [1][2]. D/E is low at 9.0% ($24.9M debt), indicating a conservative balance sheet. Forward P/E is negative (-2.6x) reflecting expected losses of -$1.34/share in FY2026 [6]. Q4 2025 EPS of -$0.38 beat consensus by $0.04 and improved from -$0.62 in the prior year, showing some loss narrowing [1]. At $3.49/share with a $379M market cap — down from over $1B pre-clinical hold — the stock is priced for significant uncertainty around KRESLADI commercialization and RP-A501 clinical hold resolution.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Rocket Pharmaceuticals demonstrates a mixed mindset. The company's founding purpose of developing gene therapy cures for rare diseases is deeply aligned with infinite game thinking — pursuing treatments for conditions that affect tiny patient populations (LAD-I affects ~1 in 100,000) where the commercial case is challenging but the patient need is profound. However, the May 2025 clinical hold crisis exposed governance weaknesses — the securities lawsuit alleges Rocket concealed a protocol change that led to a patient death, undermining the trust and transparency that infinite game leaders must maintain [5]. CEO Gaurav Shah's 8-year tenure provides continuity, but the disclosure controversy raises serious questions about leadership integrity.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Rocket's cause — curing rare, devastating genetic diseases through gene therapy — is one of the most purposeful in biotech. The focus on LAD-I (fatal immune disorder in children), Fanconi Anemia (bone marrow failure), and Danon disease (fatal heart failure in young adults) connects scientific innovation to profound patient need [1][3]. This cause has been consistent since Gaurav Shah's appointment in 2018 and shapes all pipeline decisions. However, the disclosure controversy around RP-A501 raises questions about whether the cause truly governs all behavior.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May 2025 clinical hold crisis and subsequent securities lawsuit are devastating for trust assessment. The lawsuit alleges Rocket concealed a clinical trial protocol change that introduced a new immunosuppressive drug, leading to serious adverse events and a patient death [5]. If true, this represents a fundamental failure of transparency — exactly the opposite of Sinek's Circle of Safety. Glassdoor reviews add to the concern, with some employees citing 'lack of leadership and direction' and decisions made without integrating 'overall strategy or people impact'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Rocket acknowledging competitors' strengths in the gene therapy space. Companies like BioMarin, Bluebird Bio, and Sarepta operate in related areas, but Rocket's competitive language focuses on its differentiated pipeline rather than learning from rivals' experiences with gene therapy manufacturing and commercialization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Rocket has expanded from its initial lentiviral platform (LAD-I, Fanconi Anemia, PKD) into AAV-based cardiovascular gene therapies (Danon disease, PKP2-ACM, BAG3-DCM), representing meaningful platform diversification [1][3]. The pivot into cardiac gene therapy opened a larger addressable market while maintaining the rare disease focus. However, the clinical hold on the flagship RP-A501 cardiac program tests whether this diversification was premature.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Rocket demonstrated courage by pursuing gene therapy cures for ultra-rare diseases where patient populations are tiny and commercial returns are uncertain — the LAD-I patient population may be fewer than 1,000 globally [3]. Named a Fast Company Most Innovative Company of 2024 for this commitment [4]. However, the alleged concealment of the RP-A501 protocol change represents the opposite of courageous, transparent leadership, significantly undermining the courage assessment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Rocket Pharmaceuticals is a late-stage gene therapy company at a critical inflection point: KRESLADI for LAD-I has an expected FDA approval date of March 28, 2026, which would make it the company's first commercial product and a potential cure for a devastating childhood immune disorder [1][3]. However, the company's credibility has been severely damaged by the May 2025 clinical hold on RP-A501 for Danon disease following a patient death and a subsequent securities class action lawsuit alleging concealed protocol changes [5].</w:t>
      </w:r>
    </w:p>
    <w:p>
      <w:pPr>
        <w:spacing w:after="120"/>
      </w:pPr>
      <w:r>
        <w:rPr>
          <w:rFonts w:ascii="Calibri" w:hAnsi="Calibri"/>
          <w:b w:val="0"/>
          <w:color w:val="3A4A28"/>
          <w:sz w:val="20"/>
        </w:rPr>
        <w:t>At $3.49/share with a $379M market cap — down from over $1B pre-crisis — the stock prices in significant risk but also reflects substantial upside if KRESLADI launches successfully and the RP-A501 clinical hold is resolved. Cash of $188.9M against $190M annual burn provides approximately 12 months of runway, creating potential dilution risk [1][2]. The pipeline beyond KRESLADI (PKP2-ACM Phase 1, BAG3-DCM preclinical) offers additional optionality but is early-stage. For IOWN, the WATCH rating reflects genuine innovation in rare disease gene therapy and high AI resilience, weighed against pre-revenue financial fragility, governance concerns from the securities lawsuit, and severe recent stock destruction.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KRESLADI FDA approval expected March 28, 2026 for LAD-I — first commercial gene therapy product and revenue catalyst [1][3]</w:t>
      </w:r>
    </w:p>
    <w:p>
      <w:pPr>
        <w:spacing w:before="40" w:after="40"/>
        <w:ind w:left="283"/>
      </w:pPr>
      <w:r>
        <w:rPr>
          <w:rFonts w:ascii="Calibri" w:hAnsi="Calibri"/>
          <w:b/>
          <w:color w:val="4A6B25"/>
          <w:sz w:val="20"/>
        </w:rPr>
        <w:t xml:space="preserve">2. </w:t>
      </w:r>
      <w:r>
        <w:rPr>
          <w:rFonts w:ascii="Calibri" w:hAnsi="Calibri"/>
          <w:b w:val="0"/>
          <w:color w:val="3A4A28"/>
          <w:sz w:val="20"/>
        </w:rPr>
        <w:t>Resolution of the RP-A501 clinical hold for Danon disease and resumption of Phase 2 pivotal trial would restore pipeline value [1]</w:t>
      </w:r>
    </w:p>
    <w:p>
      <w:pPr>
        <w:spacing w:before="40" w:after="40"/>
        <w:ind w:left="283"/>
      </w:pPr>
      <w:r>
        <w:rPr>
          <w:rFonts w:ascii="Calibri" w:hAnsi="Calibri"/>
          <w:b/>
          <w:color w:val="4A6B25"/>
          <w:sz w:val="20"/>
        </w:rPr>
        <w:t xml:space="preserve">3. </w:t>
      </w:r>
      <w:r>
        <w:rPr>
          <w:rFonts w:ascii="Calibri" w:hAnsi="Calibri"/>
          <w:b w:val="0"/>
          <w:color w:val="3A4A28"/>
          <w:sz w:val="20"/>
        </w:rPr>
        <w:t>Favorable resolution of the securities class action lawsuit would remove the governance overhang and rebuild investor confidence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alleging concealed RP-A501 protocol changes creates significant governance and legal liability risk [5]</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12 months ($188.9M cash vs. $190M annual burn) may require dilutive capital raises in 2026-2027 [1][2]</w:t>
      </w:r>
    </w:p>
    <w:p>
      <w:pPr>
        <w:spacing w:before="40" w:after="40"/>
        <w:ind w:left="283"/>
      </w:pPr>
      <w:r>
        <w:rPr>
          <w:rFonts w:ascii="Calibri" w:hAnsi="Calibri"/>
          <w:b/>
          <w:color w:val="4A6B25"/>
          <w:sz w:val="20"/>
        </w:rPr>
        <w:t xml:space="preserve">3. </w:t>
      </w:r>
      <w:r>
        <w:rPr>
          <w:rFonts w:ascii="Calibri" w:hAnsi="Calibri"/>
          <w:b w:val="0"/>
          <w:color w:val="3A4A28"/>
          <w:sz w:val="20"/>
        </w:rPr>
        <w:t>KRESLADI commercialization for ultra-rare LAD-I faces tiny addressable market and complex gene therapy manufacturing/reimbursement challenges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Rocket's gene therapy business is structurally immune to AI disruption. Gene therapy development requires complex lentiviral and AAV vector manufacturing, ex vivo cell processing, clinical trials with human patients, and FDA regulatory approval — none of which can be substituted by AI [1][3]. The manufacturing of autologous gene therapies (collecting a patient's own cells, modifying them, and reinfusing) involves physical-world processes that AI cannot replace. AI may accelerate aspects of vector design and clinical trial recruitment, benefiting rather than threatening Rocket's business. AI Opportunity (0/1): No quantifiable AI revenue — Rocket does not commercialize AI tools or generate revenue from AI-related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Rocket Pharmaceuticals Q4 and Full Year 2025 Financial Results,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RCKT Key Statistics and Financial Data,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Rocket Pharmaceuticals Investor Relations — Pipeline Overview and KRESLADI BLA Update,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Rocket Pharma Employee Reviews (25 reviews),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ZLK Law — Rocket Pharmaceuticals Securities Class Action Lawsuit Update, June 2025</w:t>
      </w:r>
    </w:p>
    <w:p>
      <w:pPr>
        <w:spacing w:before="20" w:after="20"/>
        <w:ind w:left="170"/>
      </w:pPr>
      <w:r>
        <w:rPr>
          <w:rFonts w:ascii="Calibri" w:hAnsi="Calibri"/>
          <w:b/>
          <w:color w:val="4A6B25"/>
          <w:sz w:val="15"/>
        </w:rPr>
        <w:t xml:space="preserve">6. </w:t>
      </w:r>
      <w:r>
        <w:rPr>
          <w:rFonts w:ascii="Calibri" w:hAnsi="Calibri"/>
          <w:b w:val="0"/>
          <w:color w:val="3A4A28"/>
          <w:sz w:val="17"/>
        </w:rPr>
        <w:t>Lifesci Capital — RCKT FY2026 Earnings Estimate,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