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RCL</w:t>
      </w:r>
      <w:r>
        <w:rPr>
          <w:rFonts w:ascii="Calibri" w:hAnsi="Calibri"/>
          <w:b/>
          <w:color w:val="1A2010"/>
          <w:sz w:val="40"/>
        </w:rPr>
        <w:t xml:space="preserve">  Royal Caribbean Cruises Ltd.</w:t>
      </w:r>
    </w:p>
    <w:p>
      <w:pPr>
        <w:spacing w:after="120"/>
      </w:pPr>
      <w:r>
        <w:rPr>
          <w:rFonts w:ascii="Calibri" w:hAnsi="Calibri"/>
          <w:b/>
          <w:color w:val="6E8450"/>
          <w:sz w:val="18"/>
        </w:rPr>
        <w:t>GROWTH SLEEVE · 2026-04-13 · Inspire: -1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NYSE · United States</w:t>
      </w:r>
    </w:p>
    <w:p>
      <w:pPr>
        <w:spacing w:after="80"/>
      </w:pPr>
      <w:r>
        <w:rPr>
          <w:rFonts w:ascii="Calibri" w:hAnsi="Calibri"/>
          <w:b w:val="0"/>
          <w:color w:val="3A4A28"/>
          <w:sz w:val="20"/>
        </w:rPr>
        <w:t>Royal Caribbean Group is the world's second-largest cruise company by revenue, operating 68 ships across Royal Caribbean International, Celebrity Cruises, Silversea, and a 50% stake in TUI Cruises/Hapag-Lloyd Cruises. The company carried a record 9.4 million guests in 2025 and is rolling out new Icon-class and Edge-class ships through 2028.</w:t>
      </w:r>
    </w:p>
    <w:p>
      <w:r>
        <w:rPr>
          <w:rFonts w:ascii="Calibri" w:hAnsi="Calibri"/>
          <w:b/>
          <w:color w:val="6E8450"/>
          <w:sz w:val="18"/>
        </w:rPr>
        <w:t>106,900 Employees · https://www.royalcaribbeangroup.com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Royal Caribbean delivered FY2025 revenue of $17.94B (up 8.8% YoY) and Q4 2025 revenue of $4.26B (up 13.3% YoY), carrying a record 9.4M guests with disciplined execution [1]. AI Deployment (2/2): Over 90% of RCL's ~15M daily price points are now AI-driven, and AI-driven food production forecasting has cut ship waste by 50% — these are concrete, measurable AI deployments at scale [2]. Market Share (2/2): World's #2 cruise operator with premium positioning via Celebrity and luxury positioning via Silversea; Icon of the Seas (world's largest cruise ship, 2024) and Star of the Seas (2025) have commanded premium pricing [1]. Pipeline (1/2): 2026 guidance calls for double-digit revenue growth, 14% adjusted EPS growth to $17.70-$18.10, and 6.7% capacity growth with net yields up 2.1-4.1% [1]. R&amp;D Intensity (1/1): Sustained investment in AI, ship technology, and private destinations (Perfect Day CocoCay, Perfect Day Mexico) that drive incremental revenue per guest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Royal Caribbean's mission of delivering 'the best vacations responsibly' and the Destination Net Zero commitment to net-zero emissions by 2050 with Science-Based Targets provide genuine direction [3]. The five ESG pillars (communities, experiences, human rights, net zero innovation, governance) are operationalized across the fleet. Community Impact (2/2): 106,900 employees, 9.4M guests served, and substantial supplier networks in port communities. Employee Retention (2/2): Glassdoor rates RCL 4.0/5 with 76% recommending and 75% positive business outlook; culture/values 3.9/5 and career opportunities 3.8/5 are strong for hospitality [2]. Insider Buying (0/2): No material insider buying disclosed; CEO Jason Liberty's compensation is heavily equity-weighted but alignment is through options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RCL's balance sheet has normalized post-pandemic. FY2025 revenue of $17.94B with 8.8% growth, FY2025 adjusted EPS of $15.64, and FY2026 adjusted EPS guidance of $17.70-$18.10 support a PE of 17.7x and forward PE of 15.6x at $275.75 [4]. ROE of 48.5% is exceptional, though partly a function of elevated leverage (D/E 212%) [4]. Profit margin has expanded to ~18%, and management has reinstated a dividend ($0.75/quarter, $3/year, ~1.1% yield) reflecting balance sheet repair [4]. Avg daily volume of 2.7M x $275.75 = $744M easily clears the liquidity floor [4]. The main infrastructure flaw is still-elevated leverage, but 2026 FCF generation plus debt paydown trajectory is improving investment-grade credit prospects.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Royal Caribbean under Jason Liberty is building for decades, not quarters — Destination Net Zero by 2050, AI-driven personalization, new private destinations, and Icon/Edge-class ships that will cruise into the 2040s [1][2][3]. The company's 2026 double-digit revenue guide, 14% EPS growth, and 4.0/5 Glassdoor rating with 76% employee recommendation show the vision is resonating internally and externally.</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of creating 'great vacation experiences responsibly' is authentic and validated by 9.4M guests in 2025 and the Destination Net Zero 2050 commitment [3]. The five-pillar ESG framework (communities, experiences, human rights, net zero, governance) operationalizes the cause across a global fleet.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4.0/5 with 76% recommendation, 3.9/5 culture/values, and 3.8/5 career opportunities is strong for a 106,900-person global hospitality operator [2]. Some reviews flag trust/autonomy concerns, but the positive outlook percentage (75%) indicates employees believe in the trajectory.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RCL explicitly benchmarks against Carnival (#1 by volume) and Norwegian and uses Icon-class ship launches and AI-driven yield management to outpace them. The company's pricing power and occupancy outpace Carnival by several margin points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RCL survived the COVID shutdown — the most existential threat the cruise industry has ever faced — and emerged with a reshaped fleet strategy, private-destination investments (Perfect Day CocoCay, Perfect Day Mexico), and an AI-first operating model [2]. Leadership overhaul and capital reallocation to Icon-class ships shows willingness to pivot.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Committing to net-zero by 2050 in one of the highest-carbon segments of travel is a courageous public stance [3]. Investing heavily in Icon-class ($2B+ per ship) during a period when peers stretched to survive demonstrated conviction that paid off as demand recovered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Royal Caribbean is the best-operated cruise company in a structurally under-supplied vacation market, posting FY2025 revenue of $17.94B (up 8.8%) and guiding FY2026 to double-digit revenue growth, 14% adjusted EPS growth to $17.70-$18.10, and 6.7% capacity additions [1]. AI is a genuine competitive moat — 90% of RCL's 15M daily price points are AI-driven, and AI-powered food forecasting cut ship waste by 50%, both translating directly to yield and margin [2]. Icon-class ships (Icon, Star of the Seas) command premium pricing, and private destinations (Perfect Day CocoCay, Perfect Day Mexico) capture onboard spend that peers cannot match. At 15.6x forward EPS with 48.5% ROE and a reinstated dividend, RCL offers growth-at-a-reasonable-price with a strengthening balance sheet [4].</w:t>
      </w:r>
    </w:p>
    <w:p>
      <w:pPr>
        <w:spacing w:after="120"/>
      </w:pPr>
      <w:r>
        <w:rPr>
          <w:rFonts w:ascii="Calibri" w:hAnsi="Calibri"/>
          <w:b w:val="0"/>
          <w:color w:val="3A4A28"/>
          <w:sz w:val="20"/>
        </w:rPr>
        <w:t>The bear case centers on macro and leverage. Debt-to-equity of 212% means RCL is still capital-structure sensitive to any demand shock — a recession or geopolitical event that curtails cruising would pressure free cash flow and could force another dividend pause [4]. Fuel price spikes, port access (especially new Mexican private destination dependence), and environmental regulation on shipping emissions are real industry risks. Cybersecurity of ship-board IT/OT systems is a growing exposure as AI deployment expands [2]. The 2026 guide assumes yields rise only 2.1-4.1% — any softer pricing would flow directly to EPS. Finally, the Inspire score is slightly negative (-1) due to onboard gambling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execution on double-digit revenue growth and 14% adjusted EPS growth ($17.70-$18.10) with 6.7% capacity additions and 2.1-4.1% net yield expansion [1]</w:t>
      </w:r>
    </w:p>
    <w:p>
      <w:pPr>
        <w:spacing w:before="40" w:after="40"/>
        <w:ind w:left="283"/>
      </w:pPr>
      <w:r>
        <w:rPr>
          <w:rFonts w:ascii="Calibri" w:hAnsi="Calibri"/>
          <w:b/>
          <w:color w:val="4A6B25"/>
          <w:sz w:val="20"/>
        </w:rPr>
        <w:t xml:space="preserve">2. </w:t>
      </w:r>
      <w:r>
        <w:rPr>
          <w:rFonts w:ascii="Calibri" w:hAnsi="Calibri"/>
          <w:b w:val="0"/>
          <w:color w:val="3A4A28"/>
          <w:sz w:val="20"/>
        </w:rPr>
        <w:t>Continued AI-driven yield management and waste reduction (90% of 15M daily price points AI-optimized; 50% food waste cut) that lifts operating margins structurally [2]</w:t>
      </w:r>
    </w:p>
    <w:p>
      <w:pPr>
        <w:spacing w:before="40" w:after="40"/>
        <w:ind w:left="283"/>
      </w:pPr>
      <w:r>
        <w:rPr>
          <w:rFonts w:ascii="Calibri" w:hAnsi="Calibri"/>
          <w:b/>
          <w:color w:val="4A6B25"/>
          <w:sz w:val="20"/>
        </w:rPr>
        <w:t xml:space="preserve">3. </w:t>
      </w:r>
      <w:r>
        <w:rPr>
          <w:rFonts w:ascii="Calibri" w:hAnsi="Calibri"/>
          <w:b w:val="0"/>
          <w:color w:val="3A4A28"/>
          <w:sz w:val="20"/>
        </w:rPr>
        <w:t>Perfect Day Mexico private destination opening and Icon-class ship rollouts, driving onboard revenue per guest higher while lowering port fees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212% keeps RCL leveraged to demand; a recession or travel shock could force a dividend pause similar to 2020 [4]</w:t>
      </w:r>
    </w:p>
    <w:p>
      <w:pPr>
        <w:spacing w:before="40" w:after="40"/>
        <w:ind w:left="283"/>
      </w:pPr>
      <w:r>
        <w:rPr>
          <w:rFonts w:ascii="Calibri" w:hAnsi="Calibri"/>
          <w:b/>
          <w:color w:val="4A6B25"/>
          <w:sz w:val="20"/>
        </w:rPr>
        <w:t xml:space="preserve">2. </w:t>
      </w:r>
      <w:r>
        <w:rPr>
          <w:rFonts w:ascii="Calibri" w:hAnsi="Calibri"/>
          <w:b w:val="0"/>
          <w:color w:val="3A4A28"/>
          <w:sz w:val="20"/>
        </w:rPr>
        <w:t>Fuel, environmental regulation, and Destination Net Zero 2050 capex commitments create multi-decade cost pressure in a high-carbon industry [3]</w:t>
      </w:r>
    </w:p>
    <w:p>
      <w:pPr>
        <w:spacing w:before="40" w:after="40"/>
        <w:ind w:left="283"/>
      </w:pPr>
      <w:r>
        <w:rPr>
          <w:rFonts w:ascii="Calibri" w:hAnsi="Calibri"/>
          <w:b/>
          <w:color w:val="4A6B25"/>
          <w:sz w:val="20"/>
        </w:rPr>
        <w:t xml:space="preserve">3. </w:t>
      </w:r>
      <w:r>
        <w:rPr>
          <w:rFonts w:ascii="Calibri" w:hAnsi="Calibri"/>
          <w:b w:val="0"/>
          <w:color w:val="3A4A28"/>
          <w:sz w:val="20"/>
        </w:rPr>
        <w:t>Cybersecurity exposure on AI-heavy cruise ships — CEO Liberty himself has flagged data/privacy risks as the company manages 90%+ AI-driven pricing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Cruising is a physical, experiential vacation — AI cannot replicate a family on Icon of the Seas. Instead, AI is a massive enabler: 90% of RCL's 15M daily price points are AI-optimized for revenue management, and food-waste forecasting cut ship waste 50% [2]. AI Opportunity (1/1): CEO Jason Liberty has publicly framed AI as core to personalizing the 9.4M-guest experience, differentiating from smaller operators who cannot afford the tech stack [2]. Cybersecurity of ship-board IT/OT systems is a real but manageable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Royal Caribbean Group FY2025 results and FY2026 guidance press release, February 2026 — $17.94B revenue, 9.4M guests, $15.64 FY25 adj EPS, $17.70-$18.10 FY26 guide</w:t>
      </w:r>
    </w:p>
    <w:p>
      <w:pPr>
        <w:spacing w:before="20" w:after="20"/>
        <w:ind w:left="170"/>
      </w:pPr>
      <w:r>
        <w:rPr>
          <w:rFonts w:ascii="Calibri" w:hAnsi="Calibri"/>
          <w:b/>
          <w:color w:val="4A6B25"/>
          <w:sz w:val="15"/>
        </w:rPr>
        <w:t xml:space="preserve">2. </w:t>
      </w:r>
      <w:r>
        <w:rPr>
          <w:rFonts w:ascii="Calibri" w:hAnsi="Calibri"/>
          <w:b w:val="0"/>
          <w:color w:val="3A4A28"/>
          <w:sz w:val="17"/>
        </w:rPr>
        <w:t>Skift, Klover.ai, PhocusWire — Jason Liberty on AI strategy (90% of 15M price points AI-driven, 50% food waste reduction), Glassdoor 4.0/5 with 76% recommendation</w:t>
      </w:r>
    </w:p>
    <w:p>
      <w:pPr>
        <w:spacing w:before="20" w:after="20"/>
        <w:ind w:left="170"/>
      </w:pPr>
      <w:r>
        <w:rPr>
          <w:rFonts w:ascii="Calibri" w:hAnsi="Calibri"/>
          <w:b/>
          <w:color w:val="4A6B25"/>
          <w:sz w:val="15"/>
        </w:rPr>
        <w:t xml:space="preserve">3. </w:t>
      </w:r>
      <w:r>
        <w:rPr>
          <w:rFonts w:ascii="Calibri" w:hAnsi="Calibri"/>
          <w:b w:val="0"/>
          <w:color w:val="3A4A28"/>
          <w:sz w:val="17"/>
        </w:rPr>
        <w:t>Royal Caribbean Group Sustainability / Seastainability Report — Destination Net Zero 2050, Science-Based Targets, five-pillar ESG framework</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Finviz RCL key statistics — $275.75 price, PE 17.71, Fwd PE 15.64, ROE 48.51%, D/E 212.66%, dividend $0.75/qtr</w:t>
      </w:r>
    </w:p>
    <w:p>
      <w:pPr>
        <w:spacing w:before="20" w:after="20"/>
        <w:ind w:left="170"/>
      </w:pPr>
      <w:r>
        <w:rPr>
          <w:rFonts w:ascii="Calibri" w:hAnsi="Calibri"/>
          <w:b/>
          <w:color w:val="4A6B25"/>
          <w:sz w:val="15"/>
        </w:rPr>
        <w:t xml:space="preserve">5. </w:t>
      </w:r>
      <w:r>
        <w:rPr>
          <w:rFonts w:ascii="Calibri" w:hAnsi="Calibri"/>
          <w:b w:val="0"/>
          <w:color w:val="3A4A28"/>
          <w:sz w:val="17"/>
        </w:rPr>
        <w:t>Barchart and Motley Fool — RCL April 2026 earnings preview and buy-case analysis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