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RCUS</w:t>
      </w:r>
      <w:r>
        <w:rPr>
          <w:rFonts w:ascii="Calibri" w:hAnsi="Calibri"/>
          <w:b/>
          <w:color w:val="1A2010"/>
          <w:sz w:val="40"/>
        </w:rPr>
        <w:t xml:space="preserve">  Arcus Biosciences,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2026-04-30 · Inspire: 31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Arcus Biosciences is a clinical-stage biopharmaceutical company focused on developing cancer therapies and inflammatory disease treatments. Its lead asset casdatifan (HIF-2a inhibitor) is in Phase 3 for clear cell renal cell carcinoma, with additional pipeline programs in anti-TIGIT (domvanalimab) and anti-PD-1 (zimberelimab) antibodies for lung and gastrointestinal cancers.</w:t>
      </w:r>
    </w:p>
    <w:p>
      <w:r>
        <w:rPr>
          <w:rFonts w:ascii="Calibri" w:hAnsi="Calibri"/>
          <w:b/>
          <w:color w:val="6E8450"/>
          <w:sz w:val="18"/>
        </w:rPr>
        <w:t>601 Employees · https://arcusbio.com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Arcus has advanced casdatifan through Phase 1/1b showing 45% confirmed ORR and 15.1-month median PFS in late-line ccRCC, but the Phase 3 STAR-221 domvanalimab study was discontinued for futility in December 2025, representing a major pipeline setback [1][2]. AI Deployment (0/2): No evidence of AI-powered products or AI-driven operational efficiencies in clinical development or drug discovery workflows [3]. Market Share (1/2): Casdatifan is positioned as a potential best-in-class HIF-2a inhibitor for ccRCC, competing against Merck's belzutifan (Welireg), with differentiated clinical data showing superior monotherapy activity in late-line patients [2]. Pipeline (2/2): Clear pipeline visibility with Phase 3 casdatifan monotherapy trial in first-line ccRCC planned for 2026, combination studies with checkpoint inhibitors, and emerging inflammation/immunology portfolio pivoting the company's R&amp;D strategy [1][2]. R&amp;D Intensity (1/1): R&amp;D-intensive biotech with the majority of operating expenses directed toward clinical development; $981M cash position specifically earmarked for pipeline advancement through H2 2028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Arcus's mission to develop cancer therapies that block tumor-induced immunosuppression is clear and meaningful but not distinctive among oncology biotechs — it describes what they do rather than articulating a transformative vision of a cancer-free future [3]. Community Impact (1/2): The company's oncology focus directly addresses unmet medical needs in kidney and lung cancer; casdatifan data showing PFS beyond one year in late-line ccRCC patients represents genuine patient impact, though scale is limited as a pre-commercial company [2]. Employee Retention (0/2): Glassdoor rating of 3.4/5 with 3.1 for culture and values; employee reviews cite concerns about disempowering management practices from senior leaders, suggesting average-to-below-average retention dynamics [3]. Insider Buying (1/2): Co-founder Terry Rosen maintains significant equity stake; the $288M financing in late 2025 brought institutional capital but specific net insider buying data is mixed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Arcus is a pre-revenue clinical-stage biotech burning $162M annually in free cash flow with -143% profit margins and -63% ROE, though $981M cash provides runway through H2 2028 [1][4]. D/E of 34.7% is conservative for biotech. Revenue of $247M in FY2025 (down from $258M in FY2024) is primarily collaboration milestone payments from AstraZeneca and Gilead, not product revenue [1]. Forward P/E is negative (-6.8x) reflecting expected continued losses. The 3-year revenue CAGR of ~30% reflects lumpy milestone payments rather than organic growth. Liquidity floor passes: 1.2M avg volume x $24.13 = $29.7M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Arcus shows elements of infinite game thinking through its long-term commitment to the cancer immunology platform and willingness to pivot away from failed programs (STAR-221 discontinuation), but the company's finite runway and binary clinical trial outcomes create inherent tension with infinite game principles.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Arcus's cause — developing next-generation cancer immunotherapies to extend survival for patients who have exhausted standard treatments — is genuine and specific, demonstrated by the pivot to concentrate R&amp;D investment on casdatifan after the STAR-221 setback rather than spreading resources thinly [1][2]. However, the cause has not been tested across multiple leadership generations or market cycles given the company's 2015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Mixed signals: co-founder Terry Rosen's 30+ years in biotech and accessible senior leadership are positives, but Glassdoor reviews (3.1/5 culture rating) cite concerns about disempowering management practices and describe a culture that may not fully empower employees to challenge leadership decisions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Arcus positions casdatifan explicitly against Merck's belzutifan as a potential 'best-in-class' competitor, using competitive language focused on superiority rather than learning from rivals' strengths [2]. The framing is primarily about winning the HIF-2a inhibitor category rather than improving through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December 2025 decision to discontinue the Phase 3 STAR-221 domvanalimab study and pivot R&amp;D investment toward casdatifan and the emerging inflammation/immunology portfolio demonstrates meaningful strategic flexibility — the company walked away from a major program when data indicated futility rather than throwing good money after bad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Discontinuing the STAR-221 trial required courage — it represented a core partnership program with Gilead — but Arcus redirected resources to casdatifan where the data was stronger [1]. The $288M capital raise in late 2025, during a difficult biotech funding environment, showed conviction in the pipeline's long-term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Arcus Biosciences offers a high-risk, high-reward opportunity centered on casdatifan, a potential best-in-class HIF-2a inhibitor for clear cell renal cell carcinoma. Updated Phase 1/1b data showing 45% confirmed ORR and 15.1-month median PFS in late-line ccRCC compares favorably to Merck's approved belzutifan, and the company plans to initiate a Phase 3 first-line ccRCC trial in 2026 [1][2]. With $981M in cash, Arcus has funded operations through H2 2028, and the emerging inflammation/immunology portfolio adds optionality beyond oncology. The pivot away from failed programs shows disciplined capital allocation.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substantial: Arcus is a pre-revenue clinical-stage company burning $162M annually with a GAAP net loss margin of -143% [1][4]. The discontinuation of the STAR-221 domvanalimab trial with Gilead represents a major pipeline failure that narrows the value proposition to casdatifan as essentially a single-asset story. Revenue guidance of $45-55M for 2026 (vs. $247M in 2025) reflects the loss of Gilead collaboration milestones, and analyst estimates of $120M suggest the market expects additional milestones that may not materialize [1]. Competition from Merck's belzutifan, which has first-mover advantage and an expanding label, creates significant commercial risk even if casdatifan succeeds clinically. Binary Phase 3 outcomes make this a high-volatility investment inappropriate for income-oriented portfolios.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first-line ccRCC trial initiation for casdatifan in 2026, which could establish the drug as a foundational treatment in kidney cancer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Updated biomarker data correlating erythropoietin suppression with clinical outcomes, potentially enabling patient selection that improves trial success probability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Inflammation/immunology portfolio advancement leveraging the BVF Partners collaboration, diversifying beyond oncology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Single-asset concentration risk — casdatifan Phase 3 failure would eliminate the primary value driver with limited pipeline backup after STAR-221 discontinuation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of ~$162M annually against $45-55M 2026 revenue guidance creates dilution risk if additional capital raises are needed before H2 2028 runway expires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threat from Merck's belzutifan, which has regulatory approval, commercial infrastructure, and expanding ccRCC indications with first-mover advantage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Biotechnology drug development is structurally protected from AI disruption — clinical trials require physical patient enrollment, regulatory approval processes are deeply human-driven, and novel cancer immunology mechanisms cannot be substituted by AI tools [3]. AI may accelerate target identification and clinical trial design but cannot replace the wet-lab biology and Phase 3 clinical validation that define Arcus's value proposition. Regulatory barriers (FDA approval timelines, IP protection) create structural moats that AI cannot circumvent. AI Opportunity (0/1): No evidence of AI-generated revenue or AI-powered products shipping to customers; Arcus remains a traditional drug discovery company without quantifiable AI revenue contribution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Arcus Biosciences Q4 and Full-Year 2025 Financial Results and Pipeline Update,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Arcus Biosciences — 2026 Plans for Casdatifan and Inflammation Programs; ARC-20 Phase 1/1b updated data (45% ORR, 15.1-month mPFS),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 — Arcus Biosciences (3.4/5 rating, 65 reviews); Leadership team profiles,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RCUS, accessed April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