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w:t>
      </w:r>
      <w:r>
        <w:rPr>
          <w:rFonts w:ascii="Calibri" w:hAnsi="Calibri"/>
          <w:b/>
          <w:color w:val="1A2010"/>
          <w:sz w:val="40"/>
        </w:rPr>
        <w:t xml:space="preserve">  Ready Capital Corporation</w:t>
      </w:r>
    </w:p>
    <w:p>
      <w:pPr>
        <w:spacing w:after="120"/>
      </w:pPr>
      <w:r>
        <w:rPr>
          <w:rFonts w:ascii="Calibri" w:hAnsi="Calibri"/>
          <w:b/>
          <w:color w:val="6E8450"/>
          <w:sz w:val="18"/>
        </w:rPr>
        <w:t>DIVIDEND SLEEVE · 2026-04-10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Ready Capital Corporation is a commercial mortgage REIT that originates, acquires, finances, and services lower-to-middle-market commercial real estate loans and real estate-related securities. The company is externally managed by Waterfall Asset Management and has undergone severe financial distress following a $284M CRE loan write-down in 2025.</w:t>
      </w:r>
    </w:p>
    <w:p>
      <w:r>
        <w:rPr>
          <w:rFonts w:ascii="Calibri" w:hAnsi="Calibri"/>
          <w:b/>
          <w:color w:val="6E8450"/>
          <w:sz w:val="18"/>
        </w:rPr>
        <w:t>442 Employees · https://www.readycapital.com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Ready Capital's recent track record is one of destruction, not innovation. The company wrote down $284M in CRE bad debt in Q4 2024, followed by an additional $150M in CECL reserves and $23M in valuation allowances in Q4 2025, with 27% of the loan portfolio on nonaccrual status [1][3]. Revenue collapsed from $384M in 2022 to negative $24M in 2025. AI Deployment (0/2): No evidence of AI deployment or strategy. Ready Capital is a mortgage REIT focused on basic lending operations with no AI products or measurable AI-driven savings disclosed. Market Share (1/2): Ready Capital was a meaningful player in lower-to-middle-market CRE lending, but the $494M portfolio sale in Q2 2025 and ongoing deleveraging have shrunk its competitive footprint significantly [3]. Pipeline (0/2): No visible growth pipeline. The company is in liquidation/restructuring mode, selling loan portfolios and reserving against losses rather than originating new business [3]. R&amp;D Intensity (1/1): Not applicable for a mortgage REIT; scored generously at the minimum threshold.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Ready Capital's purpose is generic financial services language — providing capital solutions to the middle market. There is no distinctive mission or vision that differentiates from any other commercial mortgage lender [2]. Community Impact (0/2): No evidence of meaningful charitable programs or community investment. The company is in financial distress with minimal resources for community initiatives. Employee Retention (0/2): Leadership restructuring with the appointment of new Chief Credit Officer and co-President suggests organizational instability; the 442-person workforce is managing through a crisis with no retention data available [2]. Insider Buying (1/2): No evidence of meaningful insider buying. CEO Capasse's dual role as CEO/CIO and principal at external manager Waterfall Asset Management creates alignment questions; the external management structure inherently separates manager incentives from shareholder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Ready Capital's financial profile is severely distressed. D/E of 361% far exceeds the 300% floor, ROE is negative at -12.0%, and the company reported negative revenue of -$24M in 2025 and a Q4 2025 GAAP loss of $1.46/share [1][3][4]. Forward P/E is negative (-4.0x) indicating consensus expects continued losses. Book value has declined to $8.79/share — yet the stock trades at $1.55, an 82% discount to book — reflecting the market's deep skepticism about asset quality. The dividend has been slashed from $1.20/year (2023) to $0.04/year (2026), a 97% cut. With 27% of loans on nonaccrual and $5.96B in total debt against $215M in cash, the balance sheet is under acute stress [3]. Liquidity clears the floor at $4.0M daily turnover but is thin for institutional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Ready Capital is playing a finite survival game. The company's aggressive CRE lending during the low-rate era, followed by $434M in write-downs and reserves, 27% nonaccrual portfolio, a 97% dividend cut, and a securities fraud class action lawsuit reflect finite-game decision-making — optimizing for short-term returns at the expense of long-term durability. The external management structure through Waterfall Asset Management inherently prioritizes manager fees over shareholder outcomes.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Ready Capital has no discernible Just Cause beyond generating returns for shareholders and management fees for Waterfall Asset Management. The company exists to originate and trade CRE loans — a purely financial function with no articulated vision of a better future. The external management structure means the company's strategic decisions serve Waterfall's interests as well as (or instead of) shareholders' [2]. Score: 0/3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recent leadership restructuring — appointing a new Chief Credit Officer and co-President during a crisis — suggests reactive management rather than stable organizational trust. The externally managed REIT structure means key decisions are made by Waterfall Asset Management, not by a dedicated internal team. The 442-person workforce is navigating through a period of acute financial distress, securities litigation, and dividend elimination — conditions that destroy psychological safety [2][3].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constructive competitive engagement. Ready Capital's competitive language is transactional, focused on deal flow and origination volume rather than learning from peers. The company's aggressive lending practices that led to $284M in write-downs suggest a finite competitive mindset — pursuing volume over quality [3]. Score: 0/1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$494M portfolio sale in Q2 2025 and ongoing deleveraging represent forced adaptation rather than proactive strategic flexibility. Management described these as 'decisive actions to stabilize the balance sheet,' which is survival instinct, not existential flexibility in the Sinek sense [3]. The shift from aggressive origination to portfolio liquidation is reactive.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fully reserve all non-performing CRE loans and take the massive $284M write-down in Q4 2024 — while devastating to the stock price — could be viewed as courageous transparency, choosing to recognize the full extent of losses rather than drip-feeding them over multiple quarters [1][3]. However, the leadership that created the problem (aggressive CRE lending with poor underwriting standards) is the same leadership managing the cleanup, which undermines the courage narrative.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Ready Capital trades at $1.55, an 82% discount to book value of $8.79/share, which could represent deep value if the underlying CRE loan portfolio proves to be worth more than the market implies [4]. The company has taken aggressive write-downs ($284M in Q4 2024, plus $150M additional reserves in Q4 2025) that may have over-reserved, and the $494M portfolio sale demonstrates willingness to crystallize losses and move forward [3]. If CRE credit conditions stabilize and the remaining performing portfolio generates positive returns, there is significant upside from current levels. The 2.58% dividend yield on a reduced $0.04/year basis provides minimal but continuing income.</w:t>
      </w:r>
    </w:p>
    <w:p>
      <w:pPr>
        <w:spacing w:after="120"/>
      </w:pPr>
      <w:r>
        <w:rPr>
          <w:rFonts w:ascii="Calibri" w:hAnsi="Calibri"/>
          <w:b w:val="0"/>
          <w:color w:val="3A4A28"/>
          <w:sz w:val="20"/>
        </w:rPr>
        <w:t>The bear case is overwhelming. Ready Capital is in acute financial distress with negative revenue (-$24M in 2025), D/E of 361%, 27% of loans on nonaccrual, and a Q4 2025 GAAP loss of $1.46/share [3]. The stock has declined from $12+ to $1.55, destroying 87%+ of shareholder value. A securities fraud class action alleges management concealed the severity of CRE loan deterioration, creating legal liability and reputational damage [1]. The dividend has been cut 97% from $1.20/year to $0.04/year, effectively eliminating the income proposition. The external management structure through Waterfall Asset Management means management fees continue even as shareholder value evaporates. With $5.96B in debt against $215M in cash, refinancing risk is severe — a failed debt rollover could trigger bankruptcy. The 82% discount to book value reflects the market's belief that book value itself is overstated given the credit quality of the remaining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credit cycle stabilization — if commercial real estate values bottom and nonperforming loans cure or are resolved at better-than-reserved levels, book value could recover from the current $8.79/share [3]</w:t>
      </w:r>
    </w:p>
    <w:p>
      <w:pPr>
        <w:spacing w:before="40" w:after="40"/>
        <w:ind w:left="283"/>
      </w:pPr>
      <w:r>
        <w:rPr>
          <w:rFonts w:ascii="Calibri" w:hAnsi="Calibri"/>
          <w:b/>
          <w:color w:val="4A6B25"/>
          <w:sz w:val="20"/>
        </w:rPr>
        <w:t xml:space="preserve">2. </w:t>
      </w:r>
      <w:r>
        <w:rPr>
          <w:rFonts w:ascii="Calibri" w:hAnsi="Calibri"/>
          <w:b w:val="0"/>
          <w:color w:val="3A4A28"/>
          <w:sz w:val="20"/>
        </w:rPr>
        <w:t>Portfolio deleveraging completion — successful resolution of the $600M held-for-sale portfolio and remaining nonperforming assets would reduce balance sheet risk and rebuild investor confidence [3]</w:t>
      </w:r>
    </w:p>
    <w:p>
      <w:pPr>
        <w:spacing w:before="40" w:after="40"/>
        <w:ind w:left="283"/>
      </w:pPr>
      <w:r>
        <w:rPr>
          <w:rFonts w:ascii="Calibri" w:hAnsi="Calibri"/>
          <w:b/>
          <w:color w:val="4A6B25"/>
          <w:sz w:val="20"/>
        </w:rPr>
        <w:t xml:space="preserve">3. </w:t>
      </w:r>
      <w:r>
        <w:rPr>
          <w:rFonts w:ascii="Calibri" w:hAnsi="Calibri"/>
          <w:b w:val="0"/>
          <w:color w:val="3A4A28"/>
          <w:sz w:val="20"/>
        </w:rPr>
        <w:t>Securities fraud lawsuit resolution — dismissal or favorable settlement of the class action would remove legal overhang and reduce the stock's risk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CRE deterioration — 27% of loans on nonaccrual could worsen if commercial real estate values decline further, requiring additional write-downs beyond the $434M already taken [3]</w:t>
      </w:r>
    </w:p>
    <w:p>
      <w:pPr>
        <w:spacing w:before="40" w:after="40"/>
        <w:ind w:left="283"/>
      </w:pPr>
      <w:r>
        <w:rPr>
          <w:rFonts w:ascii="Calibri" w:hAnsi="Calibri"/>
          <w:b/>
          <w:color w:val="4A6B25"/>
          <w:sz w:val="20"/>
        </w:rPr>
        <w:t xml:space="preserve">2. </w:t>
      </w:r>
      <w:r>
        <w:rPr>
          <w:rFonts w:ascii="Calibri" w:hAnsi="Calibri"/>
          <w:b w:val="0"/>
          <w:color w:val="3A4A28"/>
          <w:sz w:val="20"/>
        </w:rPr>
        <w:t>Liquidity and refinancing risk — $5.96B in total debt with $215M cash creates acute refinancing risk; failure to roll over maturing obligations could force distressed asset sales or bankruptcy [4]</w:t>
      </w:r>
    </w:p>
    <w:p>
      <w:pPr>
        <w:spacing w:before="40" w:after="40"/>
        <w:ind w:left="283"/>
      </w:pPr>
      <w:r>
        <w:rPr>
          <w:rFonts w:ascii="Calibri" w:hAnsi="Calibri"/>
          <w:b/>
          <w:color w:val="4A6B25"/>
          <w:sz w:val="20"/>
        </w:rPr>
        <w:t xml:space="preserve">3. </w:t>
      </w:r>
      <w:r>
        <w:rPr>
          <w:rFonts w:ascii="Calibri" w:hAnsi="Calibri"/>
          <w:b w:val="0"/>
          <w:color w:val="3A4A28"/>
          <w:sz w:val="20"/>
        </w:rPr>
        <w:t>Securities fraud class action — ongoing litigation alleging concealment of CRE loan deterioration creates legal liability and management distraction, with potential for material damages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mortgage lending is a relationship-driven, documentation-heavy business where AI poses limited direct substitution risk. Loan origination requires property inspections, borrower relationship management, regulatory compliance, and local market knowledge that AI cannot fully replicate. However, AI-powered underwriting tools from fintech competitors (Blend, Roofstock, Cadre) could reduce the competitive advantage of traditional CRE lenders by automating credit analysis and risk assessment, particularly in the lower-to-middle market where Ready Capital operates [2]. The REIT structure itself is protected — physical real estate collateral cannot be disrupted by software. AI Opportunity (0/1): No evidence of AI-generated revenue or meaningful AI deployment within Ready Capital's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ZLK, Hagens Berman, Glancy Prongay &amp; Murray — Ready Capital securities fraud class action, $284M write-down, March 2025</w:t>
      </w:r>
    </w:p>
    <w:p>
      <w:pPr>
        <w:spacing w:before="20" w:after="20"/>
        <w:ind w:left="170"/>
      </w:pPr>
      <w:r>
        <w:rPr>
          <w:rFonts w:ascii="Calibri" w:hAnsi="Calibri"/>
          <w:b/>
          <w:color w:val="4A6B25"/>
          <w:sz w:val="15"/>
        </w:rPr>
        <w:t xml:space="preserve">2. </w:t>
      </w:r>
      <w:r>
        <w:rPr>
          <w:rFonts w:ascii="Calibri" w:hAnsi="Calibri"/>
          <w:b w:val="0"/>
          <w:color w:val="3A4A28"/>
          <w:sz w:val="17"/>
        </w:rPr>
        <w:t>Ready Capital Corporation — leadership changes, CEO Tom Capasse, external management by Waterfall Asset Management, 2025-2026</w:t>
      </w:r>
    </w:p>
    <w:p>
      <w:pPr>
        <w:spacing w:before="20" w:after="20"/>
        <w:ind w:left="170"/>
      </w:pPr>
      <w:r>
        <w:rPr>
          <w:rFonts w:ascii="Calibri" w:hAnsi="Calibri"/>
          <w:b/>
          <w:color w:val="4A6B25"/>
          <w:sz w:val="15"/>
        </w:rPr>
        <w:t xml:space="preserve">3. </w:t>
      </w:r>
      <w:r>
        <w:rPr>
          <w:rFonts w:ascii="Calibri" w:hAnsi="Calibri"/>
          <w:b w:val="0"/>
          <w:color w:val="3A4A28"/>
          <w:sz w:val="17"/>
        </w:rPr>
        <w:t>Stock Titan, Motley Fool — Ready Capital Q4 2025 results: $1.46 GAAP loss, 27% nonaccrual, $494M portfolio sale, Q2 2025 results,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RC (Ready Capital),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