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RDW</w:t>
      </w:r>
      <w:r>
        <w:rPr>
          <w:rFonts w:ascii="Calibri" w:hAnsi="Calibri"/>
          <w:b/>
          <w:color w:val="1A2010"/>
          <w:sz w:val="40"/>
        </w:rPr>
        <w:t xml:space="preserve">  Redwire Corporation</w:t>
      </w:r>
    </w:p>
    <w:p>
      <w:pPr>
        <w:spacing w:after="120"/>
      </w:pPr>
      <w:r>
        <w:rPr>
          <w:rFonts w:ascii="Calibri" w:hAnsi="Calibri"/>
          <w:b/>
          <w:color w:val="6E8450"/>
          <w:sz w:val="18"/>
        </w:rPr>
        <w:t>GROWTH SLEEVE · 2026-03-23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Redwire Corporation provides critical space solutions and infrastructure for government and commercial customers, including solar arrays, sensors, avionics, and in-space manufacturing. The company has a record $411M backlog and 2026 revenue guidance of $450-500 million, driven by Space Force and DARPA contracts.</w:t>
      </w:r>
    </w:p>
    <w:p>
      <w:r>
        <w:rPr>
          <w:rFonts w:ascii="Calibri" w:hAnsi="Calibri"/>
          <w:b/>
          <w:color w:val="6E8450"/>
          <w:sz w:val="18"/>
        </w:rPr>
        <w:t>1,410 Employees · https://www.rdw.com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Redwire has grown from a space component supplier to a critical infrastructure provider, winning the $816M SDA satellite prime contract and the SHIELD contract tied to the $39.9B Space Force FY2026 budget [1]. The ELSA (Extensible Low-Profile Solar Array) launch represents genuine product innovation for next-gen satellites. AI Deployment (0/2): No evidence of AI deployment or AI-driven products in Redwire's space hardware portfolio [1]. Market Share (2/2): Redwire is a leading provider of space infrastructure in the rapidly growing defense space market, positioned at the intersection of the $151B Golden Dome initiative and Space Force budget expansion from $28.8B to $39.9B [1]. Pipeline (2/2): Specific pipeline includes SHIELD contract, $44M DARPA Otter phase 2, ELSA solar array commercialization, and $411M backlog with book-to-bill over 1.3x — all with clear timelines [1]. R&amp;D Intensity (1/1): Significant investment in SabreSat platform, ELSA solar arrays, and in-space manufacturing capabilities relative to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Redwire's mission of enabling the next generation of space exploration and defense infrastructure is specific, thoughtful, and connects to a larger purpose of advancing humanity's presence in space [1]. Community Impact (0/2): No evidence of significant charitable programs or community investment beyond core business operations [1]. Employee Retention (1/2): With 1,410 employees in a competitive space engineering market, Redwire's ability to win prime contracts and grow revenue 56% suggests strong technical talent retention, though specific data was not found [1]. Insider Buying (0/2): No evidence of meaningful net insider buying in the last 12 months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Redwire's infrastructure score reflects a high-growth company with significant financial challenges. Revenue growth of 56.4% YoY (Q4) and 2026 guidance of $450-500M (41.6% growth at midpoint) are excellent [1]. However, profit margin is deeply negative at -67.6%, ROE is -41.8%, and the company reported a net loss of $226.6M in 2025 [6]. Forward P/E of -20 reflects no path to near-term profitability. Free cash flow was -$200.6M [1]. The one bright spot is low D/E of 10.9% [6]. The $411M backlog and book-to-bill over 1.3x provide revenue visibility but not profitability. Liquidity floor is met: 23.5M avg vol x $9.20 = $216M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Redwire plays a genuinely long-term game in space infrastructure, investing in capabilities that will define decades of space activity. The $816M SDA prime contract and SHIELD program participation represent multi-year commitments. However, persistent losses and negative free cash flow create tension between the infinite vision and near-term financial survival.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Enabling humanity's next era in space through critical infrastructure and defense capabilities is a compelling just cause tied to national security and scientific advancement [1]. Redwire's work on the DARPA Otter mission, Golden Dome initiative, and in-space manufacturing represents genuinely frontier work that extends beyond quarterly earnings.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1,410 employees winning complex prime contracts from SDA, DARPA, and Space Force, Redwire demonstrates technical team capability [1]. However, the $226.6M net loss and negative free cash flow create financial pressure that can strain employee trust and retention in the competitive space engineering talent market.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Redwire competes with L3Harris, Northrop Grumman, and SpaceX subsidiaries in the space infrastructure market. Winning the $816M SDA prime contract demonstrates competitive capability against larger rivals, and the ELSA solar array positions Redwire in a niche where it can compete on innovation rather than scale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Redwire has expanded from space components to full satellite systems integration, winning prime contractor status on the SDA Tracking Layer Tranche 3 program [1]. The acquisition-driven growth strategy and pivot toward defense tech (expected to grow ~20% in 2026) show willingness to evolve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Investing in frontier space technologies (in-space manufacturing, ELSA solar arrays) while absorbing significant losses requires conviction that space infrastructure will be transformative [1]. Redwire's focus on building production capabilities for future volume suggests strategic patience over short-term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Redwire is positioned at the intersection of two secular tailwinds: Space Force budget expansion (from $28.8B to $39.9B in FY2026) and the $151B Golden Dome national defense initiative [1]. Record $411M backlog with book-to-bill over 1.3x and 2026 revenue guidance of $450-500M (41.6% growth) demonstrate accelerating demand for space infrastructure. The $816M SDA prime contract validates Redwire's transition from component supplier to systems integrator, and the ELSA solar array opens new commercial and government markets. At $9.20 per share with $1.77B market cap, the stock offers significant upside if the company can execute on its backlog and approach profitability [1].</w:t>
      </w:r>
    </w:p>
    <w:p>
      <w:pPr>
        <w:spacing w:after="120"/>
      </w:pPr>
      <w:r>
        <w:rPr>
          <w:rFonts w:ascii="Calibri" w:hAnsi="Calibri"/>
          <w:b w:val="0"/>
          <w:color w:val="3A4A28"/>
          <w:sz w:val="20"/>
        </w:rPr>
        <w:t>The bear case centers on persistent and significant losses: net loss of $226.6M, negative free cash flow of $200.6M, and profit margin of -67.6% in 2025 [1][6]. Over $130M in non-recurring items inflated losses, but even adjusted EBITDA was -$50.3M. The 2026 focus on 'transitioning development programs into production to drive gross margin improvement' is a promise, not a result. Defense programs face ongoing government shutdown risks that delayed revenue recognition in 2025. The high beta of 2.54 reflects extreme stock volatility, and the analyst target of $13.50-$22 has wide dispersion reflecting uncertainty about the profitability timeline.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Space Force FY2026 budget of $39.9B (up 39% from FY2025) with SHIELD and Golden Dome contracts flowing to Redwire</w:t>
      </w:r>
    </w:p>
    <w:p>
      <w:pPr>
        <w:spacing w:before="40" w:after="40"/>
        <w:ind w:left="283"/>
      </w:pPr>
      <w:r>
        <w:rPr>
          <w:rFonts w:ascii="Calibri" w:hAnsi="Calibri"/>
          <w:b/>
          <w:color w:val="4A6B25"/>
          <w:sz w:val="20"/>
        </w:rPr>
        <w:t xml:space="preserve">2. </w:t>
      </w:r>
      <w:r>
        <w:rPr>
          <w:rFonts w:ascii="Calibri" w:hAnsi="Calibri"/>
          <w:b w:val="0"/>
          <w:color w:val="3A4A28"/>
          <w:sz w:val="20"/>
        </w:rPr>
        <w:t>Transition from development to production programs in 2026 targeting gross margin improvement and path toward EBITDA breakeven</w:t>
      </w:r>
    </w:p>
    <w:p>
      <w:pPr>
        <w:spacing w:before="40" w:after="40"/>
        <w:ind w:left="283"/>
      </w:pPr>
      <w:r>
        <w:rPr>
          <w:rFonts w:ascii="Calibri" w:hAnsi="Calibri"/>
          <w:b/>
          <w:color w:val="4A6B25"/>
          <w:sz w:val="20"/>
        </w:rPr>
        <w:t xml:space="preserve">3. </w:t>
      </w:r>
      <w:r>
        <w:rPr>
          <w:rFonts w:ascii="Calibri" w:hAnsi="Calibri"/>
          <w:b w:val="0"/>
          <w:color w:val="3A4A28"/>
          <w:sz w:val="20"/>
        </w:rPr>
        <w:t>ELSA solar array commercialization for government and commercial satellites, expanding addressable market beyond defense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net losses ($226.6M in 2025) and negative free cash flow ($200.6M) with no clear profitability timeline</w:t>
      </w:r>
    </w:p>
    <w:p>
      <w:pPr>
        <w:spacing w:before="40" w:after="40"/>
        <w:ind w:left="283"/>
      </w:pPr>
      <w:r>
        <w:rPr>
          <w:rFonts w:ascii="Calibri" w:hAnsi="Calibri"/>
          <w:b/>
          <w:color w:val="4A6B25"/>
          <w:sz w:val="20"/>
        </w:rPr>
        <w:t xml:space="preserve">2. </w:t>
      </w:r>
      <w:r>
        <w:rPr>
          <w:rFonts w:ascii="Calibri" w:hAnsi="Calibri"/>
          <w:b w:val="0"/>
          <w:color w:val="3A4A28"/>
          <w:sz w:val="20"/>
        </w:rPr>
        <w:t>Government shutdown risk and defense budget uncertainty could delay contract execution and revenue recognition</w:t>
      </w:r>
    </w:p>
    <w:p>
      <w:pPr>
        <w:spacing w:before="40" w:after="40"/>
        <w:ind w:left="283"/>
      </w:pPr>
      <w:r>
        <w:rPr>
          <w:rFonts w:ascii="Calibri" w:hAnsi="Calibri"/>
          <w:b/>
          <w:color w:val="4A6B25"/>
          <w:sz w:val="20"/>
        </w:rPr>
        <w:t xml:space="preserve">3. </w:t>
      </w:r>
      <w:r>
        <w:rPr>
          <w:rFonts w:ascii="Calibri" w:hAnsi="Calibri"/>
          <w:b w:val="0"/>
          <w:color w:val="3A4A28"/>
          <w:sz w:val="20"/>
        </w:rPr>
        <w:t>High beta (2.54) and $1.77B market cap create significant stock price volatility, and potential dilution from equity raises to fund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Space hardware manufacturing — solar arrays, satellites, sensors, and avionics — is a physical-world operation that AI structurally cannot displace [1]. Redwire's products require specialized engineering, cleanroom manufacturing, and space-rated qualification that are immune to AI substitution. The expansion of AI data centers and defense AI systems actually increases demand for the satellite infrastructure and communications hardware that Redwire provides. AI Opportunity (0/1): Redwire does not generate direct AI revenue, though its satellite systems support AI-enabled defense and communications networks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Redwire Corporation Q4/Full Year 2025 Results and 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Redwire SHIELD contract and DARPA Otter phase 2 announcements, 2025-2026</w:t>
      </w:r>
    </w:p>
    <w:p>
      <w:pPr>
        <w:spacing w:before="20" w:after="20"/>
        <w:ind w:left="170"/>
      </w:pPr>
      <w:r>
        <w:rPr>
          <w:rFonts w:ascii="Calibri" w:hAnsi="Calibri"/>
          <w:b/>
          <w:color w:val="4A6B25"/>
          <w:sz w:val="15"/>
        </w:rPr>
        <w:t xml:space="preserve">3. </w:t>
      </w:r>
      <w:r>
        <w:rPr>
          <w:rFonts w:ascii="Calibri" w:hAnsi="Calibri"/>
          <w:b w:val="0"/>
          <w:color w:val="3A4A28"/>
          <w:sz w:val="17"/>
        </w:rPr>
        <w:t>H.C. Wainwright — Redwire 2026 bullish analysis, January 2026</w:t>
      </w:r>
    </w:p>
    <w:p>
      <w:pPr>
        <w:spacing w:before="20" w:after="20"/>
        <w:ind w:left="170"/>
      </w:pPr>
      <w:r>
        <w:rPr>
          <w:rFonts w:ascii="Calibri" w:hAnsi="Calibri"/>
          <w:b/>
          <w:color w:val="4A6B25"/>
          <w:sz w:val="15"/>
        </w:rPr>
        <w:t xml:space="preserve">4. </w:t>
      </w:r>
      <w:r>
        <w:rPr>
          <w:rFonts w:ascii="Calibri" w:hAnsi="Calibri"/>
          <w:b w:val="0"/>
          <w:color w:val="3A4A28"/>
          <w:sz w:val="17"/>
        </w:rPr>
        <w:t>StocksTrade — Redwire ELSA solar array innovation analysis, March 2026</w:t>
      </w:r>
    </w:p>
    <w:p>
      <w:pPr>
        <w:spacing w:before="20" w:after="20"/>
        <w:ind w:left="170"/>
      </w:pPr>
      <w:r>
        <w:rPr>
          <w:rFonts w:ascii="Calibri" w:hAnsi="Calibri"/>
          <w:b/>
          <w:color w:val="4A6B25"/>
          <w:sz w:val="15"/>
        </w:rPr>
        <w:t xml:space="preserve">5. </w:t>
      </w:r>
      <w:r>
        <w:rPr>
          <w:rFonts w:ascii="Calibri" w:hAnsi="Calibri"/>
          <w:b w:val="0"/>
          <w:color w:val="3A4A28"/>
          <w:sz w:val="17"/>
        </w:rPr>
        <w:t>Briefs.co — RDW Stock 2026 outlook analysis</w:t>
      </w:r>
    </w:p>
    <w:p>
      <w:pPr>
        <w:spacing w:before="20" w:after="20"/>
        <w:ind w:left="170"/>
      </w:pPr>
      <w:r>
        <w:rPr>
          <w:rFonts w:ascii="Calibri" w:hAnsi="Calibri"/>
          <w:b/>
          <w:color w:val="4A6B25"/>
          <w:sz w:val="15"/>
        </w:rPr>
        <w:t xml:space="preserve">6. </w:t>
      </w:r>
      <w:r>
        <w:rPr>
          <w:rFonts w:ascii="Calibri" w:hAnsi="Calibri"/>
          <w:b w:val="0"/>
          <w:color w:val="3A4A28"/>
          <w:sz w:val="17"/>
        </w:rPr>
        <w:t>Yahoo Finance — RDW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