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RDY</w:t>
      </w:r>
      <w:r>
        <w:rPr>
          <w:rFonts w:ascii="Calibri" w:hAnsi="Calibri"/>
          <w:b/>
          <w:color w:val="1A2010"/>
          <w:sz w:val="40"/>
        </w:rPr>
        <w:t xml:space="preserve">  Dr. Reddy's Laboratories Ltd</w:t>
      </w:r>
    </w:p>
    <w:p>
      <w:pPr>
        <w:spacing w:after="120"/>
      </w:pPr>
      <w:r>
        <w:rPr>
          <w:rFonts w:ascii="Calibri" w:hAnsi="Calibri"/>
          <w:b/>
          <w:color w:val="6E8450"/>
          <w:sz w:val="18"/>
        </w:rPr>
        <w:t>GROWTH SLEEVE · 2026-04-20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India</w:t>
      </w:r>
    </w:p>
    <w:p>
      <w:pPr>
        <w:spacing w:after="80"/>
      </w:pPr>
      <w:r>
        <w:rPr>
          <w:rFonts w:ascii="Calibri" w:hAnsi="Calibri"/>
          <w:b w:val="0"/>
          <w:color w:val="3A4A28"/>
          <w:sz w:val="20"/>
        </w:rPr>
        <w:t>Dr. Reddy's Laboratories Limited is an integrated pharmaceutical company operating globally across generics, biosimilars, active pharmaceutical ingredients, and proprietary products. The company serves markets in North America, Europe, India, Russia, and emerging markets with products spanning gastro-intestinal, cardiovascular, oncology, and dermatology therapeutic areas.</w:t>
      </w:r>
    </w:p>
    <w:p>
      <w:r>
        <w:rPr>
          <w:rFonts w:ascii="Calibri" w:hAnsi="Calibri"/>
          <w:b/>
          <w:color w:val="6E8450"/>
          <w:sz w:val="18"/>
        </w:rPr>
        <w:t>27,811 Employees · https://www.drreddys.com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Reddy's has meaningfully expanded its innovation footprint through the launch of the Aurigene.AI drug discovery platform—integrating machine learning with chemical synthesis and bioassay capabilities to accelerate novel therapeutics development [2]. The company's designation as a World Economic Forum Global Lighthouse facility validates its Industry 4.0 manufacturing transformation [2]. The biosimilar pipeline (Rituximab pending US launch) and expansion into complex generics represent incremental but meaningful product innovation [1]. However, as primarily a generics manufacturer, the company is fundamentally a fast-follower rather than a category creator—R&amp;D intensity is moderate relative to innovator pharma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Reddy's mission—'Good Health Can't Wait'—is a clear, patient-centered purpose statement that directly connects to business strategy of affordable healthcare access globally [3]. Co-Chairman G.V. Prasad has provided stable leadership for decades, championing AI adoption and sustainability goals at WEF Davos [2]. Glassdoor reviews (3.8/5, 74% recommend) show generally positive sentiment, though employees cite 'poor management,' 'low salaries for experienced people,' and 'politics in few departments' as concerns [2]. The 2030 ESG goal of 35% women in senior leadership demonstrates commitment to organizational purpose beyond financials.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Reddy's presents a solid financial profile for a generics company: D/E of 18% is conservatively managed, ROE of 16.1% is respectable, and profit margin of 16.4% reflects efficient operations [4]. Q3 FY2026 revenue of $971M beat estimates with 4.4% YoY growth, driven by 32% emerging market growth and 19% India growth [1]. However, forward P/E of 23.8 is expensive for single-digit revenue growth, PEG of 3.63 suggests overvaluation relative to growth rate, and EPS growth of -14.3% reflects margin compression from North America generic pricing pressure [1]. The stock at $13.30 with avg daily volume of 2.17M shares yields liquidity of $28.9M, well above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Dr. Reddy's demonstrates strong infinite-game characteristics through its 40+ year history, patient-centered mission, proactive AI adoption, and ambitious 2030 ESG goals. The company's expansion from Indian generics into global biosimilars and AI-driven drug discovery shows willingness to evolve. Minor finite-game elements include quarterly earnings pressure in North America and political dynamics noted by employees.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Founded in 1984 with the explicit mission of providing affordable medicines globally, Dr. Reddy's has consistently executed against this just cause for over 40 years [3]. 'Good Health Can't Wait' is not marketing—it drives business decisions like entering underserved emerging markets (Russia +21%, India +19%) even when North America margins compress [1]. The company's 2030 ESG goals (1.5M trees, gender parity, PWD inclusion) extend the mission beyond pharmaceuticals into broader societal contribution.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nearly 28,000 employees globally, Dr. Reddy's maintains reasonable organizational health (3.8/5 Glassdoor, 74% recommend) [2]. The company's designation as a WEF Lighthouse factory suggests advanced operational practices and employee empowerment in manufacturing [2]. However, reviews citing 'oscillating decisions,' 'age old managers,' and departmental politics indicate trust gaps at middle management levels. The 2030 diversity targets show awareness that inclusion requires intentional effort.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Reddy's competes against major generics players (Teva, Mylan/Viatris, Sun Pharma) and increasingly against innovators through biosimilars. The Alvotech collaboration for biosimilar development and Aurigene.AI platform show the company is learning from both pharma innovators and tech companies [2]. The WEF Lighthouse recognition positions Dr. Reddy's as a manufacturing leader that rivals study. Aggressive expansion into emerging markets demonstrates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evolution from an Indian API manufacturer to a global integrated pharma company with AI-driven drug discovery, biosimilar capabilities, and Industry 4.0 manufacturing represents significant strategic evolution over decades [2][3]. The willingness to invest in Aurigene.AI and digital transformation while core generics business faces pricing pressure shows the company is building for the next era rather than defending the current one.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G.V. Prasad's public advocacy for AI in pharma at WEF Davos, Dr. Reddy's pioneering Industry 4.0 adoption (earning Lighthouse designation), and ambitious 2030 ESG commitments demonstrate leadership courage [2][3]. The company invests in long-term capabilities (AI, biosimilars, sustainability) even while facing quarterly earnings pressure from North America pricing headwinds—prioritizing future positioning over short-term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 Reddy's is a well-managed global pharmaceutical company with a 40-year track record, conservative balance sheet (D/E 18%), and proactive AI adoption that positions it for long-term competitiveness in generics and biosimilars. The emerging market growth engine (India +19%, Russia +21%) provides diversification from US pricing pressure.</w:t>
      </w:r>
    </w:p>
    <w:p>
      <w:pPr>
        <w:spacing w:after="120"/>
      </w:pPr>
      <w:r>
        <w:rPr>
          <w:rFonts w:ascii="Calibri" w:hAnsi="Calibri"/>
          <w:b w:val="0"/>
          <w:color w:val="3A4A28"/>
          <w:sz w:val="20"/>
        </w:rPr>
        <w:t>However, the stock appears fully valued at a forward P/E of 23.8x given single-digit revenue growth and -14.3% EPS decline. The PEG ratio of 3.63 suggests the market is pricing in a growth acceleration that hasn't materialized. North America headwinds (Rituximab delays, generic pricing pressure) and geopolitical risks in Russia create near-term uncertainty. The company is executing well operationally but the valuation demands patience for growth to catch up to the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Rituximab biosimilar launch could unlock significant revenue—the reference product (Rituxan) generates $3B+ annually in the US market</w:t>
      </w:r>
    </w:p>
    <w:p>
      <w:pPr>
        <w:spacing w:before="40" w:after="40"/>
        <w:ind w:left="283"/>
      </w:pPr>
      <w:r>
        <w:rPr>
          <w:rFonts w:ascii="Calibri" w:hAnsi="Calibri"/>
          <w:b/>
          <w:color w:val="4A6B25"/>
          <w:sz w:val="20"/>
        </w:rPr>
        <w:t xml:space="preserve">2. </w:t>
      </w:r>
      <w:r>
        <w:rPr>
          <w:rFonts w:ascii="Calibri" w:hAnsi="Calibri"/>
          <w:b w:val="0"/>
          <w:color w:val="3A4A28"/>
          <w:sz w:val="20"/>
        </w:rPr>
        <w:t>India and emerging markets growing at 19-32% provide a secular growth engine as healthcare access expands in developing economies</w:t>
      </w:r>
    </w:p>
    <w:p>
      <w:pPr>
        <w:spacing w:before="40" w:after="40"/>
        <w:ind w:left="283"/>
      </w:pPr>
      <w:r>
        <w:rPr>
          <w:rFonts w:ascii="Calibri" w:hAnsi="Calibri"/>
          <w:b/>
          <w:color w:val="4A6B25"/>
          <w:sz w:val="20"/>
        </w:rPr>
        <w:t xml:space="preserve">3. </w:t>
      </w:r>
      <w:r>
        <w:rPr>
          <w:rFonts w:ascii="Calibri" w:hAnsi="Calibri"/>
          <w:b w:val="0"/>
          <w:color w:val="3A4A28"/>
          <w:sz w:val="20"/>
        </w:rPr>
        <w:t>Aurigene.AI drug discovery platform could yield proprietary molecules, transitioning Dr. Reddy's from generics into higher-margin innovation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 generic pricing pressure continuing to compress margins, with EPS declining 14.3% despite revenue growth</w:t>
      </w:r>
    </w:p>
    <w:p>
      <w:pPr>
        <w:spacing w:before="40" w:after="40"/>
        <w:ind w:left="283"/>
      </w:pPr>
      <w:r>
        <w:rPr>
          <w:rFonts w:ascii="Calibri" w:hAnsi="Calibri"/>
          <w:b/>
          <w:color w:val="4A6B25"/>
          <w:sz w:val="20"/>
        </w:rPr>
        <w:t xml:space="preserve">2. </w:t>
      </w:r>
      <w:r>
        <w:rPr>
          <w:rFonts w:ascii="Calibri" w:hAnsi="Calibri"/>
          <w:b w:val="0"/>
          <w:color w:val="3A4A28"/>
          <w:sz w:val="20"/>
        </w:rPr>
        <w:t>Forward P/E of 23.8x is expensive for a 4.4% revenue grower—valuation correction risk if growth doesn't accelerate</w:t>
      </w:r>
    </w:p>
    <w:p>
      <w:pPr>
        <w:spacing w:before="40" w:after="40"/>
        <w:ind w:left="283"/>
      </w:pPr>
      <w:r>
        <w:rPr>
          <w:rFonts w:ascii="Calibri" w:hAnsi="Calibri"/>
          <w:b/>
          <w:color w:val="4A6B25"/>
          <w:sz w:val="20"/>
        </w:rPr>
        <w:t xml:space="preserve">3. </w:t>
      </w:r>
      <w:r>
        <w:rPr>
          <w:rFonts w:ascii="Calibri" w:hAnsi="Calibri"/>
          <w:b w:val="0"/>
          <w:color w:val="3A4A28"/>
          <w:sz w:val="20"/>
        </w:rPr>
        <w:t>Geopolitical exposure to Russia (21% growth market) creates sanctions risk and revenue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clear enabler rather than threat for Dr. Reddy's operations. The company has proactively deployed AI across multiple functions: Aurigene.AI for drug discovery, Smart Investigator for process deviation resolution (weeks reduced to hours), and Industry 4.0 manufacturing with AI-driven quality control [2]. G.V. Prasad calls AI a 'force multiplier' for process development and manufacturing efficiency [2]. The Kyndryl partnership streamlines IT operations across global sites [2]. AI disruption risk is low for pharmaceutical manufacturing—regulatory requirements, complex chemistry, and physical production cannot be digitally replicated. AI adoption accelerates competitive positioning in generics speed-to-market.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 Reddy's Laboratories Q3 FY2026 Earnings Release and Call Transcript, January 2026</w:t>
      </w:r>
    </w:p>
    <w:p>
      <w:pPr>
        <w:spacing w:before="20" w:after="20"/>
        <w:ind w:left="170"/>
      </w:pPr>
      <w:r>
        <w:rPr>
          <w:rFonts w:ascii="Calibri" w:hAnsi="Calibri"/>
          <w:b/>
          <w:color w:val="4A6B25"/>
          <w:sz w:val="15"/>
        </w:rPr>
        <w:t xml:space="preserve">2. </w:t>
      </w:r>
      <w:r>
        <w:rPr>
          <w:rFonts w:ascii="Calibri" w:hAnsi="Calibri"/>
          <w:b w:val="0"/>
          <w:color w:val="3A4A28"/>
          <w:sz w:val="17"/>
        </w:rPr>
        <w:t>Dr. Reddy's AI Strategy (Aurigene.AI, WEF Lighthouse, Kyndryl Partnership) and Glassdoor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Dr. Reddy's ESG Goals 2030 and Sustainalytics Rating,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RDY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