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REI</w:t>
      </w:r>
      <w:r>
        <w:rPr>
          <w:rFonts w:ascii="Calibri" w:hAnsi="Calibri"/>
          <w:b/>
          <w:color w:val="1A2010"/>
          <w:sz w:val="40"/>
        </w:rPr>
        <w:t xml:space="preserve">  Ring Energy, Inc.</w:t>
      </w:r>
    </w:p>
    <w:p>
      <w:pPr>
        <w:spacing w:after="120"/>
      </w:pPr>
      <w:r>
        <w:rPr>
          <w:rFonts w:ascii="Calibri" w:hAnsi="Calibri"/>
          <w:b/>
          <w:color w:val="6E8450"/>
          <w:sz w:val="18"/>
        </w:rPr>
        <w:t>GROWTH SLEEVE · 2026-04-02 · Inspire: 56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American · United States</w:t>
      </w:r>
    </w:p>
    <w:p>
      <w:pPr>
        <w:spacing w:after="80"/>
      </w:pPr>
      <w:r>
        <w:rPr>
          <w:rFonts w:ascii="Calibri" w:hAnsi="Calibri"/>
          <w:b w:val="0"/>
          <w:color w:val="3A4A28"/>
          <w:sz w:val="20"/>
        </w:rPr>
        <w:t>Ring Energy is a small-cap independent oil and natural gas company focused on acquisition, exploration, development, and production of conventional assets in the Permian Basin. The company operates approximately 83,550 net developed acres and 12,684 net undeveloped acres across West Texas and New Mexico. Founded in 2004 and headquartered in The Woodlands, Texas.</w:t>
      </w:r>
    </w:p>
    <w:p>
      <w:r>
        <w:rPr>
          <w:rFonts w:ascii="Calibri" w:hAnsi="Calibri"/>
          <w:b/>
          <w:color w:val="6E8450"/>
          <w:sz w:val="18"/>
        </w:rPr>
        <w:t>111 Employees · https://www.ringenergy.com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Ring Energy completed the Lime Rock acquisition in March 2025, growing production 3% YoY and increasing proved reserves 14% to 153.3 MMBoe, but this is incremental bolt-on growth rather than transformative innovation [1]. The company has maintained cash flow positivity for 25 consecutive quarters, though net losses persist due to $108.8M ceiling test impairments from falling oil prices [1]. AI Deployment (0/2): No evidence of AI deployment or strategy. Ring Energy is a 111-employee conventional E&amp;P operator without the scale to invest in AI-driven exploration or production optimization [2]. Market Share (0/2): Ring Energy is a micro-cap ($293M market cap) E&amp;P with no meaningful market share in the Permian Basin, which is dominated by Diamondback Energy, Permian Resources, and the supermajors [1]. Pipeline (1/2): 2026 drilling program targets 23-32 wells with an increased horizontal mix to 85% and longer laterals, testing repeatability of new zone discoveries, but this is maintenance-level capital allocation at ~$115M [1]. R&amp;D Intensity (0/1): Not applicable for a conventional E&amp;P company; Ring Energy does not invest in technology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Ring Energy's purpose is generic — focused on 'responsible development of oil and gas resources' with no distinctive vision beyond efficient hydrocarbon extraction. This is interchangeable with any small E&amp;P peer. Community Impact (0/2): No evidence of distinctive charitable programs or community investment beyond standard sustainability reporting. The company published its fourth annual sustainability report citing 59% YoY reduction in Scope 1 GHG emissions, but this is operational compliance rather than community impact [3]. Employee Retention (0/2): With only 111 full-time employees, retention data is not publicly available. No Glassdoor reviews or employee sentiment data found. Insider Buying (0/2): No evidence of meaningful net insider buying by CEO Paul McKinney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Ring Energy's balance sheet shows conservative leverage with D/E of 50.6% and a reaffirmed borrowing base of $585M against $420M drawn [1][4]. However, profitability is deeply impaired: ROE of -4.1% and profit margin of -11.9% reflect $108.8M in ceiling test impairments from declining oil prices [1]. Revenue declined 20% YoY due to roughly 18% lower realized oil prices despite 3% production growth [1]. Forward P/E of 7.8x is attractive but based on earnings recovery assumptions in a volatile commodity environment. The company generated record adjusted free cash flow of $50.1M in 2025 and reduced debt by $40M since the Lime Rock closing [1]. Approximately 48% of 2026 oil production is hedged at $65.21/bbl, providing downside protection [1]. Liquidity floor cleared: 4.62M avg volume x $1.40 = $6.5M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Ring Energy is a textbook finite player — the company exists to extract hydrocarbons from the Permian Basin as efficiently as possible, with no articulated vision beyond maximizing production and reducing debt. CEO McKinney's strategy is disciplined capital allocation within a conventional E&amp;P framework, but there is no Just Cause, no evidence of courageous long-term bets, and no strategic flexibility beyond oil and gas. The 111-person organization is too small to evaluate on trust and culture dimensions.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Ring Energy has no Just Cause. The company's purpose is the efficient development of Permian Basin oil and gas assets — a commodity extraction business with no articulated vision of a better future. CEO McKinney speaks of 'growth strategies' and 'creating shareholder value,' which are definitionally finite objectives [2]. Sinek would see no cause here worth advancing beyond the next quarterly production report.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111 full-time employees, Ring Energy operates as a small, tight-knit organization. CEO McKinney praised departing executives for 'establishing a culture committed to the pursuit of excellence' and 'attracting and retaining personnel,' suggesting adequate internal trust [2]. The company reports 23% female and 51% minority representation, indicating diversity awareness. However, no Glassdoor data or independent employee sentiment evidence is available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Ring Energy frames competition in infinite terms. CEO McKinney has expressed ambitions to be a 'continued consolidator' in the Central Basin Platform, which is acquisition-oriented competitive language focused on gaining territory rather than learning from rivals [2]. No acknowledgment of worthy competitors or self-improvement through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Ring Energy has shown zero strategic flexibility beyond conventional oil and gas development. The company has not diversified into renewable energy, carbon capture, or any adjacent business. The Lime Rock and Stronghold acquisitions represent more of the same — acquiring additional Permian Basin acreage to drill conventionally [1]. If oil prices structurally decline, Ring Energy has no alternative revenue engine.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The 2026 guidance is explicitly a 'flat production plan' designed to maintain output while reducing debt — the most conservative possible strategy [1]. While fiscal discipline is prudent for a leveraged small-cap E&amp;P, there are no examples of McKinney making costly long-term bets or investing against the cycle. The hedging program at $65.21/bbl is risk management, not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Ring Energy offers deep value exposure to Permian Basin oil production at $1.40 per share with a forward P/E of 7.8x, backed by 153.3 MMBoe in proved reserves (up 14% YoY) and 25 consecutive quarters of cash flow positivity [1]. The company generated record adjusted free cash flow of $50.1M in 2025, paid down $40M in debt since the Lime Rock acquisition, and has 48% of 2026 oil production hedged at $65.21/bbl for downside protection [1]. Conservative D/E of 50.6%, a reaffirmed $585M borrowing base, and $166M total liquidity provide adequate balance sheet cushion. If oil prices recover above $70/bbl, Ring Energy's low-cost conventional operations could generate significant earnings leverage from the current depressed base.</w:t>
      </w:r>
    </w:p>
    <w:p>
      <w:pPr>
        <w:spacing w:after="120"/>
      </w:pPr>
      <w:r>
        <w:rPr>
          <w:rFonts w:ascii="Calibri" w:hAnsi="Calibri"/>
          <w:b w:val="0"/>
          <w:color w:val="3A4A28"/>
          <w:sz w:val="20"/>
        </w:rPr>
        <w:t>The bear case is severe. Ring Energy reported a net loss of $34.7M in 2025 driven by $108.8M in ceiling test impairments, and revenue declined 20% YoY as realized oil prices fell roughly 18% [1]. The company's micro-cap status ($293M market cap), 111-person workforce, and $1.40 stock price create liquidity and delisting risks. Debt of $423M against $293M market cap means equity holders are significantly subordinated to creditors. The 2026 'flat production plan' offers no growth catalyst — it simply maintains output while hoping oil prices cooperate [1]. Ring Energy has no competitive moat: it operates conventional Permian Basin assets that larger, better-capitalized E&amp;P companies could develop more efficiently. Negative free cash flow of -$47M on a GAAP basis and continued impairment risk if WTI stays below $60 could further erode the equity cushion. The stock is a leveraged bet on oil prices with no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recovery above $70/bbl WTI would drive significant earnings leverage given 48% hedged production at $65.21 and low-cost conventional operations at $10.02/Boe LOE [1]</w:t>
      </w:r>
    </w:p>
    <w:p>
      <w:pPr>
        <w:spacing w:before="40" w:after="40"/>
        <w:ind w:left="283"/>
      </w:pPr>
      <w:r>
        <w:rPr>
          <w:rFonts w:ascii="Calibri" w:hAnsi="Calibri"/>
          <w:b/>
          <w:color w:val="4A6B25"/>
          <w:sz w:val="20"/>
        </w:rPr>
        <w:t xml:space="preserve">2. </w:t>
      </w:r>
      <w:r>
        <w:rPr>
          <w:rFonts w:ascii="Calibri" w:hAnsi="Calibri"/>
          <w:b w:val="0"/>
          <w:color w:val="3A4A28"/>
          <w:sz w:val="20"/>
        </w:rPr>
        <w:t>Debt reduction trajectory — $40M paid down since Lime Rock closing with continued deleveraging targeted in 2026, reducing the 2.2x leverage ratio toward investment-grade levels [1]</w:t>
      </w:r>
    </w:p>
    <w:p>
      <w:pPr>
        <w:spacing w:before="40" w:after="40"/>
        <w:ind w:left="283"/>
      </w:pPr>
      <w:r>
        <w:rPr>
          <w:rFonts w:ascii="Calibri" w:hAnsi="Calibri"/>
          <w:b/>
          <w:color w:val="4A6B25"/>
          <w:sz w:val="20"/>
        </w:rPr>
        <w:t xml:space="preserve">3. </w:t>
      </w:r>
      <w:r>
        <w:rPr>
          <w:rFonts w:ascii="Calibri" w:hAnsi="Calibri"/>
          <w:b w:val="0"/>
          <w:color w:val="3A4A28"/>
          <w:sz w:val="20"/>
        </w:rPr>
        <w:t>New zone discoveries and increased horizontal mix to 85% in 2026 drilling program could unlock higher-return development opportunities within existing acreage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$55/bbl WTI would trigger additional ceiling test impairments, accelerate net losses, and potentially breach borrowing base covenants on the $420M credit facility [1]</w:t>
      </w:r>
    </w:p>
    <w:p>
      <w:pPr>
        <w:spacing w:before="40" w:after="40"/>
        <w:ind w:left="283"/>
      </w:pPr>
      <w:r>
        <w:rPr>
          <w:rFonts w:ascii="Calibri" w:hAnsi="Calibri"/>
          <w:b/>
          <w:color w:val="4A6B25"/>
          <w:sz w:val="20"/>
        </w:rPr>
        <w:t xml:space="preserve">2. </w:t>
      </w:r>
      <w:r>
        <w:rPr>
          <w:rFonts w:ascii="Calibri" w:hAnsi="Calibri"/>
          <w:b w:val="0"/>
          <w:color w:val="3A4A28"/>
          <w:sz w:val="20"/>
        </w:rPr>
        <w:t>Micro-cap liquidity risk — $293M market cap, $1.40 share price, and $423M debt create significant equity subordination and potential delisting vulnerability if operational performance deteriorates [4]</w:t>
      </w:r>
    </w:p>
    <w:p>
      <w:pPr>
        <w:spacing w:before="40" w:after="40"/>
        <w:ind w:left="283"/>
      </w:pPr>
      <w:r>
        <w:rPr>
          <w:rFonts w:ascii="Calibri" w:hAnsi="Calibri"/>
          <w:b/>
          <w:color w:val="4A6B25"/>
          <w:sz w:val="20"/>
        </w:rPr>
        <w:t xml:space="preserve">3. </w:t>
      </w:r>
      <w:r>
        <w:rPr>
          <w:rFonts w:ascii="Calibri" w:hAnsi="Calibri"/>
          <w:b w:val="0"/>
          <w:color w:val="3A4A28"/>
          <w:sz w:val="20"/>
        </w:rPr>
        <w:t>No growth catalyst — flat 2026 production guidance of ~20,150 Boe/d with a $115M maintenance capital program offers no upside absent commodity price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Ring Energy's core business — physical extraction of oil and natural gas from conventional Permian Basin formations — is structurally immune to AI displacement. Oil and gas production requires physical drilling rigs, well completions, surface facilities, and pipeline infrastructure that no AI technology can substitute [2]. The commodity nature of crude oil production means demand is driven by global energy consumption, not technology substitution. AI could theoretically improve drilling efficiency and reservoir modeling at larger E&amp;P companies, but for a 111-person conventional operator like Ring Energy, the impact is negligible. AI Opportunity (0/1): Ring Energy does not generate any AI-related revenue and has no public AI strategy. The company's small scale makes meaningful AI investment impractical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Ring Energy Q4 and Full Year 2025 Earnings Release — record FCF of $50.1M, reserves up 14%, 2026 guidance, March 4, 2026</w:t>
      </w:r>
    </w:p>
    <w:p>
      <w:pPr>
        <w:spacing w:before="20" w:after="20"/>
        <w:ind w:left="170"/>
      </w:pPr>
      <w:r>
        <w:rPr>
          <w:rFonts w:ascii="Calibri" w:hAnsi="Calibri"/>
          <w:b/>
          <w:color w:val="4A6B25"/>
          <w:sz w:val="15"/>
        </w:rPr>
        <w:t xml:space="preserve">2. </w:t>
      </w:r>
      <w:r>
        <w:rPr>
          <w:rFonts w:ascii="Calibri" w:hAnsi="Calibri"/>
          <w:b w:val="0"/>
          <w:color w:val="3A4A28"/>
          <w:sz w:val="17"/>
        </w:rPr>
        <w:t>Ring Energy Management Team, Oil &amp; Gas Journal, EY/KPMG industry AI analysis — leadership, culture, AI in oil and gas</w:t>
      </w:r>
    </w:p>
    <w:p>
      <w:pPr>
        <w:spacing w:before="20" w:after="20"/>
        <w:ind w:left="170"/>
      </w:pPr>
      <w:r>
        <w:rPr>
          <w:rFonts w:ascii="Calibri" w:hAnsi="Calibri"/>
          <w:b/>
          <w:color w:val="4A6B25"/>
          <w:sz w:val="15"/>
        </w:rPr>
        <w:t xml:space="preserve">3. </w:t>
      </w:r>
      <w:r>
        <w:rPr>
          <w:rFonts w:ascii="Calibri" w:hAnsi="Calibri"/>
          <w:b w:val="0"/>
          <w:color w:val="3A4A28"/>
          <w:sz w:val="17"/>
        </w:rPr>
        <w:t>Ring Energy 2024 Sustainability Report — 59% GHG reduction, TARGET ZERO-365 program, ESG disclosures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REI (Ring Energy),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