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RES</w:t>
      </w:r>
      <w:r>
        <w:rPr>
          <w:rFonts w:ascii="Calibri" w:hAnsi="Calibri"/>
          <w:b/>
          <w:color w:val="1A2010"/>
          <w:sz w:val="40"/>
        </w:rPr>
        <w:t xml:space="preserve">  RPC, Inc.</w:t>
      </w:r>
    </w:p>
    <w:p>
      <w:pPr>
        <w:spacing w:after="120"/>
      </w:pPr>
      <w:r>
        <w:rPr>
          <w:rFonts w:ascii="Calibri" w:hAnsi="Calibri"/>
          <w:b/>
          <w:color w:val="6E8450"/>
          <w:sz w:val="18"/>
        </w:rPr>
        <w:t>DIVIDEND SLEEVE · 2026-04-13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RPC, Inc. provides specialized oilfield services and equipment (pressure pumping, coiled tubing, downhole tools, cementing, wireline, nitrogen, fishing services) primarily to independent and major oil and gas exploration and production companies in the U.S. The company was spun off from Rollins, Inc. in 1984 and remains majority-controlled by the Rollins family.</w:t>
      </w:r>
    </w:p>
    <w:p>
      <w:r>
        <w:rPr>
          <w:rFonts w:ascii="Calibri" w:hAnsi="Calibri"/>
          <w:b/>
          <w:color w:val="6E8450"/>
          <w:sz w:val="18"/>
        </w:rPr>
        <w:t>2,700 Employees · https://www.rpc.net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RPC's FY2025 revenue of $1.626B grew 15% YoY but was driven almost entirely by the April 2025 Pintail Completions acquisition rather than organic growth; Q4 2025 posted a net loss of $3.1M on sequentially declining revenue of $425.8M [1][2]. AI Deployment (0/2): No material AI or digital oilfield platform deployment disclosed; RPC remains a traditional service-delivery business [3]. Market Share (1/2): Mid-tier North American pressure pumping and completions player competing against Halliburton, Liberty Energy, and ProPetro without scale leadership [3]. Pipeline (1/2): The Pintail acquisition expanded the wireline/completions footprint and drove adjusted EBITDA up 34% to $65.6M with margins improving 90 bps to 15.6%, but organic investment is modest [1]. R&amp;D Intensity (1/1): Invests in modern equipment including lower-emission Tier 4 dual-fuel and electric fleets to meet customer preferences for more efficient, cleaner pumping capacity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RPC's mission centers on safe, efficient oilfield service delivery and shareholder returns, a utilitarian rather than aspirational purpose; leadership culture is tight-knit and long-tenured but lacks a distinctive community-facing vision [4]. Community Impact (1/2): Employs ~2,700 and provides well-paying field-service jobs across U.S. oil basins; capital returns via dividend and buybacks flow back to Rollins family majority owners and minority holders [2]. Employee Retention (1/2): Leadership collaboration highlighted, but oilfield services is a cyclical, high-turnover industry and public sentiment data is limited [4]. Insider Buying (0/2): Rollins family already controls the majority stake, limiting additional signaling; notably, a wealth manager fully exited its RES position in early April 2026 per SEC filing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the Dividend sleeve: P/E of 25.2x and forward multiples reflect depressed trough earnings rather than growth; ROE is modest (~6-8%) and profit margin is thin after the Q4 2025 net loss [6]. Revenue growth of 15% YoY is entirely M&amp;A-driven; organic trends are negative amid weak U.S. frac activity and oil price volatility [1]. Balance sheet remains a relative strength — historically low D/E and net cash — supporting the $0.16 annualized dividend (yield ~2.3-2.7%) with a long history of payments [7]. Liquidity floor cleared: ~1.6M avg daily volume × $6.90 ≈ $11M/day [6]. Forward EPS visibility is poor given cyclical headwinds and Q4 activity slowdown management already flagged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RPC has multi-decade staying power as a Rollins-family-controlled oilfield services operator with a conservative balance sheet, but its mission is transactional, its strategy reactive, and its position mid-tier. The Pintail acquisition shows existential flexibility, but the core business remains cyclically exposed to U.S. frac spreads.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RPC's purpose centers on safe, efficient oilfield service delivery and long-term shareholder returns rather than a broader just cause [4]. The Rollins-family stewardship has delivered multi-decade continuity, but the company has not articulated a mission that extends beyond operational excellence and dividends.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RPC has cultivated a tight-knit team with long-tenured executives who have worked together for years, fostering collaboration that delivers consistent operational results [4]. Ben Palmer (CEO since 2022) and executive chairman Richard Hubbell represent continuity with the Rollins family ownership model.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RPC competes against Halliburton, Liberty Energy, ProPetro, and NexTier, but rarely positions itself as a category innovator — the company follows rather than sets the pace on Tier 4 dual-fuel fleets and electric frac [3]. The Pintail deal suggests recognition that scale matters to compete.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April 2025 Pintail Completions acquisition materially expanded the wireline/completions footprint and drove Q4 2025 adjusted EBITDA up 34% — RPC's biggest strategic pivot in years [1]. However, the core business remains heavily tethered to U.S. land-based hydraulic fracturing activity.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guided to continued challenging oilfield services conditions and slower Q4 activity rather than overpromising, which shows candor [1]. However, the company's response to cyclical weakness has been conservative rather than bold, and it lacks a distinctive strategic bet beyond Pintail.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RPC is a small-cap, Rollins-family-controlled U.S. oilfield services provider that uses a conservative balance sheet and cycle-tested operational discipline to survive oil price volatility [2][3]. The April 2025 Pintail Completions acquisition expanded the wireline/completions platform and drove FY2025 revenue up 15% to $1.626B and Q4 adjusted EBITDA up 34% to $65.6M with margins improving 90 bps to 15.6% [1]. The $0.16 annualized dividend yields ~2.3% backed by historically low debt, and management remains candid about cyclical headwinds [1][7]. At ~$6.90/share and roughly 18x forward earnings on depressed numbers, RES is a patient cycle call for investors comfortable with small-cap oilfield exposure and family-controlled governance.</w:t>
      </w:r>
    </w:p>
    <w:p>
      <w:pPr>
        <w:spacing w:after="120"/>
      </w:pPr>
      <w:r>
        <w:rPr>
          <w:rFonts w:ascii="Calibri" w:hAnsi="Calibri"/>
          <w:b w:val="0"/>
          <w:color w:val="3A4A28"/>
          <w:sz w:val="20"/>
        </w:rPr>
        <w:t>The bear case is structural and cyclical. U.S. land frac activity remains soft, Q4 2025 swung to a net loss of $3.1M, and management expects continued challenging conditions from oil price volatility, budget exhaustion, and pricing competition [1]. RPC lacks AI/digital differentiation versus Halliburton and Liberty Energy, which are deploying reservoir and completions optimization platforms. Rollins-family majority control limits board independence and the ability of minority holders to force capital allocation change [2]. A wealth manager fully exited the position in early April 2026, signaling institutional skepticism [5]. The Inspire score of +45 is favorable for faith-aligned investors but does not offset cyclical EPS risk. Without a sustained recovery in U.S. completion activity or a bolder strategic pivot, the stock is range-bound near the mid-single digits.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U.S. frac spread recovery in 2026 driving pricing power and adjusted EBITDA margin expansion beyond Q4 2025's 15.6% [1]</w:t>
      </w:r>
    </w:p>
    <w:p>
      <w:pPr>
        <w:spacing w:before="40" w:after="40"/>
        <w:ind w:left="283"/>
      </w:pPr>
      <w:r>
        <w:rPr>
          <w:rFonts w:ascii="Calibri" w:hAnsi="Calibri"/>
          <w:b/>
          <w:color w:val="4A6B25"/>
          <w:sz w:val="20"/>
        </w:rPr>
        <w:t xml:space="preserve">2. </w:t>
      </w:r>
      <w:r>
        <w:rPr>
          <w:rFonts w:ascii="Calibri" w:hAnsi="Calibri"/>
          <w:b w:val="0"/>
          <w:color w:val="3A4A28"/>
          <w:sz w:val="20"/>
        </w:rPr>
        <w:t>Further integration and synergy capture from the Pintail Completions acquisition supporting wireline and completions revenue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payment and potential special dividend given conservative balance sheet and Rollins-family capital-return culture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volatility and soft U.S. frac demand extending the cyclical trough — Q4 2025 already slipped to a net loss [1]</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Halliburton, Liberty Energy, and ProPetro, which have scale and digital/AI completions advantages RPC lacks [3]</w:t>
      </w:r>
    </w:p>
    <w:p>
      <w:pPr>
        <w:spacing w:before="40" w:after="40"/>
        <w:ind w:left="283"/>
      </w:pPr>
      <w:r>
        <w:rPr>
          <w:rFonts w:ascii="Calibri" w:hAnsi="Calibri"/>
          <w:b/>
          <w:color w:val="4A6B25"/>
          <w:sz w:val="20"/>
        </w:rPr>
        <w:t xml:space="preserve">3. </w:t>
      </w:r>
      <w:r>
        <w:rPr>
          <w:rFonts w:ascii="Calibri" w:hAnsi="Calibri"/>
          <w:b w:val="0"/>
          <w:color w:val="3A4A28"/>
          <w:sz w:val="20"/>
        </w:rPr>
        <w:t>Rollins-family majority control limits minority shareholder influence over capital allocation and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Oilfield services is a physical, on-site, heavy-equipment business where AI is an operational optimization tool rather than an existential threat — hydraulic fracturing and coiled tubing cannot be replaced by software [3]. However, RPC has not articulated a meaningful AI or digital strategy and competitors like Halliburton are deploying AI-driven reservoir and completions optimization, which could erode RPC's mid-tier position over time. AI Opportunity (1/1): AI-driven fleet scheduling, predictive maintenance on pumping equipment, and automated completions design offer margin-expansion opportunities if RPC invests, though no such program has been announced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RPC, Inc. Q4 and Full Year 2025 Earnings Release, February 3, 2026 — $425.8M Q4 revenue, $1.626B FY revenue, Q4 adj. EBITDA +34% to $65.6M</w:t>
      </w:r>
    </w:p>
    <w:p>
      <w:pPr>
        <w:spacing w:before="20" w:after="20"/>
        <w:ind w:left="170"/>
      </w:pPr>
      <w:r>
        <w:rPr>
          <w:rFonts w:ascii="Calibri" w:hAnsi="Calibri"/>
          <w:b/>
          <w:color w:val="4A6B25"/>
          <w:sz w:val="15"/>
        </w:rPr>
        <w:t xml:space="preserve">2. </w:t>
      </w:r>
      <w:r>
        <w:rPr>
          <w:rFonts w:ascii="Calibri" w:hAnsi="Calibri"/>
          <w:b w:val="0"/>
          <w:color w:val="3A4A28"/>
          <w:sz w:val="17"/>
        </w:rPr>
        <w:t>Financial Modeling Prep — RPC Q4 2025 Financial Performance Review, February 2026</w:t>
      </w:r>
    </w:p>
    <w:p>
      <w:pPr>
        <w:spacing w:before="20" w:after="20"/>
        <w:ind w:left="170"/>
      </w:pPr>
      <w:r>
        <w:rPr>
          <w:rFonts w:ascii="Calibri" w:hAnsi="Calibri"/>
          <w:b/>
          <w:color w:val="4A6B25"/>
          <w:sz w:val="15"/>
        </w:rPr>
        <w:t xml:space="preserve">3. </w:t>
      </w:r>
      <w:r>
        <w:rPr>
          <w:rFonts w:ascii="Calibri" w:hAnsi="Calibri"/>
          <w:b w:val="0"/>
          <w:color w:val="3A4A28"/>
          <w:sz w:val="17"/>
        </w:rPr>
        <w:t>RPC, Inc. 10-Q for quarter ended March 31, 2025 (SEC filing)</w:t>
      </w:r>
    </w:p>
    <w:p>
      <w:pPr>
        <w:spacing w:before="20" w:after="20"/>
        <w:ind w:left="170"/>
      </w:pPr>
      <w:r>
        <w:rPr>
          <w:rFonts w:ascii="Calibri" w:hAnsi="Calibri"/>
          <w:b/>
          <w:color w:val="4A6B25"/>
          <w:sz w:val="15"/>
        </w:rPr>
        <w:t xml:space="preserve">4. </w:t>
      </w:r>
      <w:r>
        <w:rPr>
          <w:rFonts w:ascii="Calibri" w:hAnsi="Calibri"/>
          <w:b w:val="0"/>
          <w:color w:val="3A4A28"/>
          <w:sz w:val="17"/>
        </w:rPr>
        <w:t>RPC, Inc. Executive Team page and Simply Wall St leadership analysis — Ben Palmer CEO transition and culture</w:t>
      </w:r>
    </w:p>
    <w:p>
      <w:pPr>
        <w:spacing w:before="20" w:after="20"/>
        <w:ind w:left="170"/>
      </w:pPr>
      <w:r>
        <w:rPr>
          <w:rFonts w:ascii="Calibri" w:hAnsi="Calibri"/>
          <w:b/>
          <w:color w:val="4A6B25"/>
          <w:sz w:val="15"/>
        </w:rPr>
        <w:t xml:space="preserve">5. </w:t>
      </w:r>
      <w:r>
        <w:rPr>
          <w:rFonts w:ascii="Calibri" w:hAnsi="Calibri"/>
          <w:b w:val="0"/>
          <w:color w:val="3A4A28"/>
          <w:sz w:val="17"/>
        </w:rPr>
        <w:t>Motley Fool — 'Wealth Manager Fully Exits Position in Oilfield Services Company', April 7, 2026</w:t>
      </w:r>
    </w:p>
    <w:p>
      <w:pPr>
        <w:spacing w:before="20" w:after="20"/>
        <w:ind w:left="170"/>
      </w:pPr>
      <w:r>
        <w:rPr>
          <w:rFonts w:ascii="Calibri" w:hAnsi="Calibri"/>
          <w:b/>
          <w:color w:val="4A6B25"/>
          <w:sz w:val="15"/>
        </w:rPr>
        <w:t xml:space="preserve">6. </w:t>
      </w:r>
      <w:r>
        <w:rPr>
          <w:rFonts w:ascii="Calibri" w:hAnsi="Calibri"/>
          <w:b w:val="0"/>
          <w:color w:val="3A4A28"/>
          <w:sz w:val="17"/>
        </w:rPr>
        <w:t>WallStreetZen, Stocktitan, Yahoo Finance — RES price, P/E, market cap data retrieved April 13, 2026</w:t>
      </w:r>
    </w:p>
    <w:p>
      <w:pPr>
        <w:spacing w:before="20" w:after="20"/>
        <w:ind w:left="170"/>
      </w:pPr>
      <w:r>
        <w:rPr>
          <w:rFonts w:ascii="Calibri" w:hAnsi="Calibri"/>
          <w:b/>
          <w:color w:val="4A6B25"/>
          <w:sz w:val="15"/>
        </w:rPr>
        <w:t xml:space="preserve">7. </w:t>
      </w:r>
      <w:r>
        <w:rPr>
          <w:rFonts w:ascii="Calibri" w:hAnsi="Calibri"/>
          <w:b w:val="0"/>
          <w:color w:val="3A4A28"/>
          <w:sz w:val="17"/>
        </w:rPr>
        <w:t>Dividend.com and Nasdaq dividend history for RES, retrieved April 13,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