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REXR</w:t>
      </w:r>
      <w:r>
        <w:rPr>
          <w:rFonts w:ascii="Calibri" w:hAnsi="Calibri"/>
          <w:b/>
          <w:color w:val="1A2010"/>
          <w:sz w:val="40"/>
        </w:rPr>
        <w:t xml:space="preserve">  Rexford Industrial Realty, Inc.</w:t>
      </w:r>
    </w:p>
    <w:p>
      <w:pPr>
        <w:spacing w:after="120"/>
      </w:pPr>
      <w:r>
        <w:rPr>
          <w:rFonts w:ascii="Calibri" w:hAnsi="Calibri"/>
          <w:b/>
          <w:color w:val="6E8450"/>
          <w:sz w:val="18"/>
        </w:rPr>
        <w:t>DIVIDEND SLEEVE · 2026-04-12 · Inspire: 66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Industrial · NYSE · United States</w:t>
      </w:r>
    </w:p>
    <w:p>
      <w:pPr>
        <w:spacing w:after="80"/>
      </w:pPr>
      <w:r>
        <w:rPr>
          <w:rFonts w:ascii="Calibri" w:hAnsi="Calibri"/>
          <w:b w:val="0"/>
          <w:color w:val="3A4A28"/>
          <w:sz w:val="20"/>
        </w:rPr>
        <w:t>Rexford Industrial is a self-administered REIT focused exclusively on industrial real estate in Southern California infill markets — the largest, highest-rent, lowest-vacancy industrial geography in North America. The portfolio spans ~50 million square feet across Los Angeles, Orange, San Diego, Ventura, and San Bernardino counties.</w:t>
      </w:r>
    </w:p>
    <w:p>
      <w:r>
        <w:rPr>
          <w:rFonts w:ascii="Calibri" w:hAnsi="Calibri"/>
          <w:b/>
          <w:color w:val="6E8450"/>
          <w:sz w:val="18"/>
        </w:rPr>
        <w:t>240 Employees · https://www.rexfordindustrial.com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Rexford has grown from a small REIT IPO in 2013 into the dominant pure-play Southern California infill industrial landlord, compounding Core FFO to $558.6M in 2025 (+9.2%) on value-add acquisitions, repositioning, and redevelopment [1]. Repositioned ~1.2M sq ft of new stabilizations expected in 2026 generating $20M annualized NOI [1]. AI Deployment (0/2): No meaningful AI deployment in leasing, operations, or capital allocation — this is a traditional real-estate operating company. Market Share (2/2): Rexford is the largest pure-play SoCal infill industrial landlord, differentiated versus Prologis and other diversified peers by geographic concentration [3]. Pipeline (2/2): $20M NOI ramp from 1.2M sq ft of projects coming online by mid-2026, $400-500M asset dispositions planned at premium valuations for capital recycling, and 2026 Core FFO guide of $2.35-2.40 [1]. R&amp;D Intensity (0/1): Not applicable in a meaningful way for a REIT.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Rexford's mission emphasizes creating value by revitalizing SoCal infill industrial properties — clear and differentiated within REITs, but not a transformative Just Cause. The orderly CEO succession to Laura Clark (former COO) effective April 1, 2026 signals continuity [2]. Community Impact (2/2): Rexford's 2024 ESG report documents 28,500 metric tons of emissions avoided via infill repurposing and rooftop solar, and an estimated $1.5B in societal impact from neighborhood revitalization and job creation [3]. A $400M green bond issuance and a 2023 net-zero commitment support the claim [3]. Employee Retention (1/2): Glassdoor rating 3.9/5 for culture, 4.0/5 for career opportunities, 78% recommend — above average for REITs, though some leadership criticism noted [2]. Insider Buying (1/2): Outgoing Co-CEOs Michael Frankel and Howard Schwimmer remain significant shareholders; new CEO Laura Clark received equity awards, but recent net insider activity is balanced, not strongly positive.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Rexford has one of the stronger balance sheets in the REIT sector: D/E of 38.4% is well below industry norms, and 2025 revenue of $1.0B with Total Portfolio NOI up 5.7% to $752.7M demonstrates steady growth [1][5]. Core FFO grew 9.2% to $558.6M, and Core FFO per share of $2.40 (2.6% growth) supports the dividend [1]. Profit margin of 21.9% is above the 20% target [5]. GAAP ROE is 2.4% (REIT accounting depresses this metric due to depreciation; FFO-based returns are higher). 4.68% dividend yield with a 74.8% FFO payout ratio, 12 consecutive years of dividend growth since 2013 IPO, and ~15% 5-year dividend CAGR are all positive marks [4]. Liquidity floor easily cleared: $8.07B market cap, ~3M avg daily volume at $34.28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Rexford plays the long game implicit in industrial real estate — assembling a portfolio in irreplaceable SoCal infill submarkets with 12 consecutive years of dividend growth, $400M green bond, and a 2023 net-zero commitment. The orderly Clark succession and focus on premium dispositions (portfolio optimization rather than growth-at-any-cost) lean toward Infinite Game thinking, though the 2026 FFO guide is flat-to-negative and SoCal-specific concentration introduces dependency risk.</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Just Cause — revitalize SoCal infill industrial real estate in the largest/highest-rent/lowest-vacancy US industrial market — is specific, distinctive, and has been lived out consistently since 2013 IPO across multiple market cycles [3]. Founders Frankel and Schwimmer executed this thesis for 12+ years, and the Clark succession is designed to maintain continuity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3.9/5 culture, 4.0/5 career opportunities, 78% recommend working at Rexford, plus a formal Learning and Development team and internal learning platform suggest above-average Circle of Safety [2]. Some reviews mention 'startup-like' resource constraints and psychological safety issues, keeping this at adequate rather than exceptional.</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Rexford's narrative emphasizes dominance in SoCal infill versus larger diversified peers (Prologis, EastGroup, First Industrial), but rarely frames rivals as teachers. The competitive language is about leveraging the SoCal moat rather than learning from others' operational strengths.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Shifting from pure acquisition-led growth to portfolio optimization and $400-500M premium-priced dispositions in 2026 shows willingness to change course with market conditions [1]. The planned 2026 CEO transition to COO Laura Clark and the net-zero commitment/green bond issuance demonstrate strategic adaptation within a disciplined strategy.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Ownership of a 2026 Core FFO guide (flat $2.35-$2.40) that acknowledges near-term same-property NOI pressure (-2.5% to -1.5%) rather than sandbagging is candid leadership [1]. Green-bond issuance, net-zero commitment, and orderly Clark succession signal long-horizon decision-making; however, no truly costly strategic bets are evident.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Rexford is the pure-play champion of Southern California infill industrial, the largest/highest-rent/lowest-vacancy industrial market in the US, with $1.0B in 2025 revenue and Core FFO up 9.2% to $558.6M [1]. The 4.68% dividend yield is supported by a 74.8% FFO payout ratio, 12 consecutive years of dividend growth, and a ~15% 5-year dividend CAGR — the best dividend-growth record in the industrial REIT space [4]. The 2026 pipeline includes $20M of new NOI from repositioning stabilization (mid-2026), $400-500M in premium-priced asset dispositions for capital recycling, and the orderly CEO transition to COO Laura Clark effective April 1, 2026 [1][2]. A 2023 net-zero commitment and $400M green bond issuance provide an ESG tailwind, and Inspire Insight alignment of +66 (ALIGNED) with zero negative attributions is among the strongest in the portfolio.</w:t>
      </w:r>
    </w:p>
    <w:p>
      <w:pPr>
        <w:spacing w:after="120"/>
      </w:pPr>
      <w:r>
        <w:rPr>
          <w:rFonts w:ascii="Calibri" w:hAnsi="Calibri"/>
          <w:b w:val="0"/>
          <w:color w:val="3A4A28"/>
          <w:sz w:val="20"/>
        </w:rPr>
        <w:t>The bear case is near-term cyclical pressure and SoCal concentration. 2026 Core FFO guidance of $2.35-$2.40 is flat-to-negative versus 2025's $2.40 per share, and same-property NOI is guided to decline 1.5-2.5% on a net-effective basis — a meaningful reset from years of double-digit growth [1]. The SoCal industrial market is seeing elevated vacancy and moderating rent growth as logistics demand normalizes post-COVID and new supply enters. Geographic concentration is a dual-edged sword — it is the moat, but it also means a SoCal-specific recession, port-activity downturn, or California regulatory shift (climate, labor, insurance) would hit Rexford disproportionately. The Core FFO multiple of ~14.3x and 4.68% yield are not distressed, but also not a deep value opportunity, leaving the thesis dependent on a re-acceleration of same-property NOI in 2027+.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$20M of new NOI from ~1.2M sq ft of repositioning/development stabilizations coming online by mid-2026, supporting FFO growth inflection [1]</w:t>
      </w:r>
    </w:p>
    <w:p>
      <w:pPr>
        <w:spacing w:before="40" w:after="40"/>
        <w:ind w:left="283"/>
      </w:pPr>
      <w:r>
        <w:rPr>
          <w:rFonts w:ascii="Calibri" w:hAnsi="Calibri"/>
          <w:b/>
          <w:color w:val="4A6B25"/>
          <w:sz w:val="20"/>
        </w:rPr>
        <w:t xml:space="preserve">2. </w:t>
      </w:r>
      <w:r>
        <w:rPr>
          <w:rFonts w:ascii="Calibri" w:hAnsi="Calibri"/>
          <w:b w:val="0"/>
          <w:color w:val="3A4A28"/>
          <w:sz w:val="20"/>
        </w:rPr>
        <w:t>$400-500M of premium-priced dispositions in 2026 recycling capital at attractive spreads and validating SoCal asset values [1]</w:t>
      </w:r>
    </w:p>
    <w:p>
      <w:pPr>
        <w:spacing w:before="40" w:after="40"/>
        <w:ind w:left="283"/>
      </w:pPr>
      <w:r>
        <w:rPr>
          <w:rFonts w:ascii="Calibri" w:hAnsi="Calibri"/>
          <w:b/>
          <w:color w:val="4A6B25"/>
          <w:sz w:val="20"/>
        </w:rPr>
        <w:t xml:space="preserve">3. </w:t>
      </w:r>
      <w:r>
        <w:rPr>
          <w:rFonts w:ascii="Calibri" w:hAnsi="Calibri"/>
          <w:b w:val="0"/>
          <w:color w:val="3A4A28"/>
          <w:sz w:val="20"/>
        </w:rPr>
        <w:t>CEO succession to Laura Clark (April 1, 2026) with continuity of strategy plus potential fresh capital-allocation lens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2026 Core FFO guide flat-to-negative ($2.35-$2.40 vs. 2025's $2.40) with same-property NOI declining 1.5-2.5% — a meaningful deceleration from historical growth [1]</w:t>
      </w:r>
    </w:p>
    <w:p>
      <w:pPr>
        <w:spacing w:before="40" w:after="40"/>
        <w:ind w:left="283"/>
      </w:pPr>
      <w:r>
        <w:rPr>
          <w:rFonts w:ascii="Calibri" w:hAnsi="Calibri"/>
          <w:b/>
          <w:color w:val="4A6B25"/>
          <w:sz w:val="20"/>
        </w:rPr>
        <w:t xml:space="preserve">2. </w:t>
      </w:r>
      <w:r>
        <w:rPr>
          <w:rFonts w:ascii="Calibri" w:hAnsi="Calibri"/>
          <w:b w:val="0"/>
          <w:color w:val="3A4A28"/>
          <w:sz w:val="20"/>
        </w:rPr>
        <w:t>SoCal concentration — port slowdowns, California regulatory pressure, or a regional recession would disproportionately impact Rexford versus diversified industrial REITs [3]</w:t>
      </w:r>
    </w:p>
    <w:p>
      <w:pPr>
        <w:spacing w:before="40" w:after="40"/>
        <w:ind w:left="283"/>
      </w:pPr>
      <w:r>
        <w:rPr>
          <w:rFonts w:ascii="Calibri" w:hAnsi="Calibri"/>
          <w:b/>
          <w:color w:val="4A6B25"/>
          <w:sz w:val="20"/>
        </w:rPr>
        <w:t xml:space="preserve">3. </w:t>
      </w:r>
      <w:r>
        <w:rPr>
          <w:rFonts w:ascii="Calibri" w:hAnsi="Calibri"/>
          <w:b w:val="0"/>
          <w:color w:val="3A4A28"/>
          <w:sz w:val="20"/>
        </w:rPr>
        <w:t>Industrial supply and rent moderation — elevated vacancy and slower rent growth across SoCal submarkets could extend the flat FFO period into 2027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Industrial real estate in Southern California infill markets is structurally immune to AI substitution — AI cannot replace warehouses, last-mile distribution hubs, or physical logistics infrastructure [1][3]. On the contrary, e-commerce (driven increasingly by AI-enabled personalization) and AI data-center adjacencies are tailwinds for industrial demand in irreplaceable coastal markets. Analysts are not flagging AI as a risk to industrial REITs; if anything, AI load growth is flagged as a positive for data-center-adjacent industrial. AI Opportunity (0/1): Rexford does not generate AI-specific revenue — tenants include logistics, light manufacturing, and consumer products firms, not AI pure-plays.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Rexford Industrial Q4 and Full Year 2025 Earnings Release — $558.6M Core FFO (+9.2%), $2.40 FFO per share, 2026 FFO guide $2.35-$2.40, February 2026</w:t>
      </w:r>
    </w:p>
    <w:p>
      <w:pPr>
        <w:spacing w:before="20" w:after="20"/>
        <w:ind w:left="170"/>
      </w:pPr>
      <w:r>
        <w:rPr>
          <w:rFonts w:ascii="Calibri" w:hAnsi="Calibri"/>
          <w:b/>
          <w:color w:val="4A6B25"/>
          <w:sz w:val="15"/>
        </w:rPr>
        <w:t xml:space="preserve">2. </w:t>
      </w:r>
      <w:r>
        <w:rPr>
          <w:rFonts w:ascii="Calibri" w:hAnsi="Calibri"/>
          <w:b w:val="0"/>
          <w:color w:val="3A4A28"/>
          <w:sz w:val="17"/>
        </w:rPr>
        <w:t>Rexford Industrial press release / Yahoo Finance — Laura Clark CEO succession effective April 1, 2026; Glassdoor reviews (3.9/5, 78% recommend)</w:t>
      </w:r>
    </w:p>
    <w:p>
      <w:pPr>
        <w:spacing w:before="20" w:after="20"/>
        <w:ind w:left="170"/>
      </w:pPr>
      <w:r>
        <w:rPr>
          <w:rFonts w:ascii="Calibri" w:hAnsi="Calibri"/>
          <w:b/>
          <w:color w:val="4A6B25"/>
          <w:sz w:val="15"/>
        </w:rPr>
        <w:t xml:space="preserve">3. </w:t>
      </w:r>
      <w:r>
        <w:rPr>
          <w:rFonts w:ascii="Calibri" w:hAnsi="Calibri"/>
          <w:b w:val="0"/>
          <w:color w:val="3A4A28"/>
          <w:sz w:val="17"/>
        </w:rPr>
        <w:t>Rexford Industrial ESG / TCFD Reports — $400M green bond, 2023 net-zero commitment, 28,500 metric tons CO2e avoided, $1.5B societal impact</w:t>
      </w:r>
    </w:p>
    <w:p>
      <w:pPr>
        <w:spacing w:before="20" w:after="20"/>
        <w:ind w:left="170"/>
      </w:pPr>
      <w:r>
        <w:rPr>
          <w:rFonts w:ascii="Calibri" w:hAnsi="Calibri"/>
          <w:b/>
          <w:color w:val="4A6B25"/>
          <w:sz w:val="15"/>
        </w:rPr>
        <w:t xml:space="preserve">4. </w:t>
      </w:r>
      <w:r>
        <w:rPr>
          <w:rFonts w:ascii="Calibri" w:hAnsi="Calibri"/>
          <w:b w:val="0"/>
          <w:color w:val="3A4A28"/>
          <w:sz w:val="17"/>
        </w:rPr>
        <w:t>Dividend.com / StockAnalysis — REXR dividend history: 4.68% yield, 74.8% FFO payout, 12 years of growth, 5yr CAGR ~15%</w:t>
      </w:r>
    </w:p>
    <w:p>
      <w:pPr>
        <w:spacing w:before="20" w:after="20"/>
        <w:ind w:left="170"/>
      </w:pPr>
      <w:r>
        <w:rPr>
          <w:rFonts w:ascii="Calibri" w:hAnsi="Calibri"/>
          <w:b/>
          <w:color w:val="4A6B25"/>
          <w:sz w:val="15"/>
        </w:rPr>
        <w:t xml:space="preserve">5. </w:t>
      </w:r>
      <w:r>
        <w:rPr>
          <w:rFonts w:ascii="Calibri" w:hAnsi="Calibri"/>
          <w:b w:val="0"/>
          <w:color w:val="3A4A28"/>
          <w:sz w:val="17"/>
        </w:rPr>
        <w:t>StockAnalysis / Yahoo Finance / CNBC — REXR $34.28 stock price, $8.07B market cap, D/E 38.4%, ROE 2.4%, profit margin 21.9%,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