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REYN</w:t>
      </w:r>
      <w:r>
        <w:rPr>
          <w:rFonts w:ascii="Calibri" w:hAnsi="Calibri"/>
          <w:b/>
          <w:color w:val="1A2010"/>
          <w:sz w:val="40"/>
        </w:rPr>
        <w:t xml:space="preserve">  Reynolds Consumer Products Inc.</w:t>
      </w:r>
    </w:p>
    <w:p>
      <w:pPr>
        <w:spacing w:after="120"/>
      </w:pPr>
      <w:r>
        <w:rPr>
          <w:rFonts w:ascii="Calibri" w:hAnsi="Calibri"/>
          <w:b/>
          <w:color w:val="6E8450"/>
          <w:sz w:val="18"/>
        </w:rPr>
        <w:t>DIVIDEND SLEEVE · 2026-05-05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NASDAQ · United States</w:t>
      </w:r>
    </w:p>
    <w:p>
      <w:pPr>
        <w:spacing w:after="80"/>
      </w:pPr>
      <w:r>
        <w:rPr>
          <w:rFonts w:ascii="Calibri" w:hAnsi="Calibri"/>
          <w:b w:val="0"/>
          <w:color w:val="3A4A28"/>
          <w:sz w:val="20"/>
        </w:rPr>
        <w:t>Reynolds Consumer Products produces and sells household products in cooking, serving, cleanup, storage, and tableware categories in the United States and internationally. The company operates through four segments: Reynolds Cooking &amp; Baking (aluminum foil, disposable pans, parchment paper), Hefty Waste &amp; Storage (trash bags, storage bags), Hefty Tableware (disposable plates, cups, cutlery), and Presto Products (store-brand bags and wraps).</w:t>
      </w:r>
    </w:p>
    <w:p>
      <w:r>
        <w:rPr>
          <w:rFonts w:ascii="Calibri" w:hAnsi="Calibri"/>
          <w:b/>
          <w:color w:val="6E8450"/>
          <w:sz w:val="18"/>
        </w:rPr>
        <w:t>6,000 Employees · https://www.reynoldsconsumerproducts.com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Reynolds has delivered essentially flat revenue over the past 3 years ($3.82B in 2022 to $3.72B in 2025), with no meaningful product launches, market pivots, or business model transformations [1]. The company is a mature consumer staples operator optimizing existing brands rather than creating new categories. AI Deployment (0/2): No evidence of AI-powered products shipping to consumers or specific AI-driven operational savings reported in earnings; the company focuses on manufacturing automation rather than AI innovation [2]. Market Share (2/2): Reynolds Wrap is the dominant brand in aluminum foil with significant market share; Hefty is a leading brand in trash bags and tableware [1]. These are category-leading positions maintained for decades. Pipeline (0/2): No next-generation products announced with specific timelines; 2026 guidance focuses on pricing actions and productivity rather than new product revenue [1]. R&amp;D Intensity (1/1): Elevated 2026 CapEx in the low-$200M range targeting automation and productivity improvements represents above-average manufacturing reinvestment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Reynolds Consumer Products focuses on making everyday life easier and more sustainable through trusted household brands — a clear but not distinctive purpose that could describe any consumer packaged goods company [2]. Community Impact (1/2): The company committed to SBTi-approved emission reduction targets (25% reduction in Scope 1, 2, and 3 GHG emissions by 2030), implemented How2Recycle labeling across products, and maintains sustainable sourcing policies [3]. These are meaningful but standard for large CPG companies. Employee Retention (1/2): CIO Rita Fisher describes an intentional leadership culture focused on creating safe spaces to experiment and fail, suggesting genuine investment in employee development [2]. No specific turnover data available but the leadership emphasis on psychological safety is notable. Insider Buying (1/2): New CEO Scott Huckins (appointed January 2025, promoted from CFO) holds meaningful equity from his prior role, demonstrating alignment. No significant insider buying data found beyond standard compensation packages.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Reynolds shows a stable but unexciting financial profile typical of a mature consumer staples company. D/E of 75.4% is slightly above the 70% target (score 0.98) [4]. ROE of 13.7% is near-target (score 0.91). Revenue growth is minimal at 1.4% YoY (score 0.71) with 3-year CAGR of -0.9% (score 0.28), reflecting a mature, low-growth business [4]. Forward P/E of 12.2x is attractive (score 1.0). Profit margin of 8.1% is below the 20% target (score 0.40) [4]. Dividend: 4.45% yield with 64.3% payout ratio (score 0.59), 6 consecutive years paid since the 2020 IPO (score 0.6, 2x weight), but zero consecutive years of growth and 0% dividend growth CAGR — the $0.23/quarter dividend has never been raised [4]. Liquidity: 1.0M avg vol x $20.70 = $21M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Reynolds Consumer Products operates trusted brands with 70+ year heritage (Reynolds Wrap, Hefty) but plays a largely finite game focused on margin optimization, pricing actions, and cost management rather than advancing a transformative cause. The company's strategic language is almost entirely about 'productivity,' 'pricing actions,' and 'revenue growth management' — finite metrics rather than infinite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Reynolds lacks a compelling Just Cause beyond making household products more convenient and sustainable [2][3]. 'Making everyday life easier' is interchangeable with any consumer products company. The sustainability commitments (SBTi targets, How2Recycle) are admirable but standard for large CPG companies and don't constitute a vision of a future state worth sacrificing for. Score reflects shallow cause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CIO Rita Fisher describes intentional leadership focused on 'creating safe spaces to excel and fail, giving people permission to experiment' [2]. The internal promotion of CFO Scott Huckins to CEO (January 2025) suggests a stable internal culture that develops and retains leaders. No evidence of major layoffs, turnover problems, or cultural dysfunction. Score reflects adequate trust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Reynolds competes against Clorox (Glad), SC Johnson (Ziploc), and private label, but management commentary focuses on defending share and pricing actions rather than learning from rivals [1]. Competitive language is about 'revenue growth management' (pricing power against competitors) rather than self-improvement driven by competition. Score reflects finite competitive mindset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Reynolds has evolved from a pure Reynolds Wrap aluminum company into a diversified four-segment household products platform through the addition of Hefty, Presto, and tableware businesses [1]. The sustainability pivot (SBTi targets, recycled content, sustainable sourcing) represents incremental adaptation to market expectations. However, the core business model has been essentially unchanged for decades. Score reflects some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Reynolds guided 2026 revenue to -3% to +1% while simultaneously increasing CapEx to the 'low $200M range' for automation and innovation investments [1]. Investing heavily during a period of flat-to-declining revenue shows willingness to prioritize long-term capability over short-term earnings. The commitment to SBTi emission targets despite the cost also demonstrates some principled leadership. Score reflects some courageous decisions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Reynolds Consumer Products offers defensive income characteristics with a 4.45% dividend yield at a reasonable 12.2x forward P/E, backed by iconic household brands (Reynolds Wrap, Hefty) with 70+ year consumer recognition [1][4]. The company generates $291M in free cash flow on $3.72B revenue, providing stable cash returns to shareholders. Market-leading positions in aluminum foil and trash bags create pricing power and shelf space advantages that are nearly impossible for competitors to replicate. Full-year 2025 Adjusted EBITDA of $660-$675M guidance demonstrates margin stability despite inflationary pressures. The business is essentially AI-immune, recession-resistant, and generates predictable cash flows.</w:t>
      </w:r>
    </w:p>
    <w:p>
      <w:pPr>
        <w:spacing w:after="120"/>
      </w:pPr>
      <w:r>
        <w:rPr>
          <w:rFonts w:ascii="Calibri" w:hAnsi="Calibri"/>
          <w:b w:val="0"/>
          <w:color w:val="3A4A28"/>
          <w:sz w:val="20"/>
        </w:rPr>
        <w:t>The bear case is one of stagnation rather than decline. Revenue has been flat to negative for 3 years ($3.82B to $3.72B), and 2026 guidance of -3% to +1% suggests continued zero growth [1]. The $0.23/quarter dividend has never been raised since the 2020 IPO — zero dividend growth over 6 years at a 64% payout ratio signals management unwillingness to return more capital. Aluminum cost inflation is a recurring margin headwind that pricing actions only partially offset. The stock's $4.4B market cap and $1.7B in debt (75% D/E) leave limited room for debt reduction or buybacks. Majority-owned by Packaging Finance Limited (a Reynolds Group Holdings entity), limiting governance independence. Consumer shift toward sustainable/reusable products threatens demand for single-use aluminum and plastic products long-term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2026 CapEx in the low-$200M range targeting manufacturing automation and productivity improvements that could drive margin expansion in 2027+ [1]</w:t>
      </w:r>
    </w:p>
    <w:p>
      <w:pPr>
        <w:spacing w:before="40" w:after="40"/>
        <w:ind w:left="283"/>
      </w:pPr>
      <w:r>
        <w:rPr>
          <w:rFonts w:ascii="Calibri" w:hAnsi="Calibri"/>
          <w:b/>
          <w:color w:val="4A6B25"/>
          <w:sz w:val="20"/>
        </w:rPr>
        <w:t xml:space="preserve">2. </w:t>
      </w:r>
      <w:r>
        <w:rPr>
          <w:rFonts w:ascii="Calibri" w:hAnsi="Calibri"/>
          <w:b w:val="0"/>
          <w:color w:val="3A4A28"/>
          <w:sz w:val="20"/>
        </w:rPr>
        <w:t>Pricing actions implemented to offset aluminum cost inflation could flow through to margin improvement if input costs stabilize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 the $0.23/quarter has been flat since IPO; any raise would signal management confidence and attract income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growth and zero dividend growth for 6 consecutive years — if this pattern continues, the stock is a value trap with no catalyst for re-rating [1][4]</w:t>
      </w:r>
    </w:p>
    <w:p>
      <w:pPr>
        <w:spacing w:before="40" w:after="40"/>
        <w:ind w:left="283"/>
      </w:pPr>
      <w:r>
        <w:rPr>
          <w:rFonts w:ascii="Calibri" w:hAnsi="Calibri"/>
          <w:b/>
          <w:color w:val="4A6B25"/>
          <w:sz w:val="20"/>
        </w:rPr>
        <w:t xml:space="preserve">2. </w:t>
      </w:r>
      <w:r>
        <w:rPr>
          <w:rFonts w:ascii="Calibri" w:hAnsi="Calibri"/>
          <w:b w:val="0"/>
          <w:color w:val="3A4A28"/>
          <w:sz w:val="20"/>
        </w:rPr>
        <w:t>Aluminum cost inflation materially pressures margins in the Reynolds Cooking &amp; Baking segment; 2026 guidance embeds near-term volume headwinds from necessary price increases [1]</w:t>
      </w:r>
    </w:p>
    <w:p>
      <w:pPr>
        <w:spacing w:before="40" w:after="40"/>
        <w:ind w:left="283"/>
      </w:pPr>
      <w:r>
        <w:rPr>
          <w:rFonts w:ascii="Calibri" w:hAnsi="Calibri"/>
          <w:b/>
          <w:color w:val="4A6B25"/>
          <w:sz w:val="20"/>
        </w:rPr>
        <w:t xml:space="preserve">3. </w:t>
      </w:r>
      <w:r>
        <w:rPr>
          <w:rFonts w:ascii="Calibri" w:hAnsi="Calibri"/>
          <w:b w:val="0"/>
          <w:color w:val="3A4A28"/>
          <w:sz w:val="20"/>
        </w:rPr>
        <w:t>Secular consumer shift toward sustainable/reusable alternatives (beeswax wraps, silicone bags, reusable containers) threatens long-term demand for single-use aluminum and plastic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Reynolds Consumer Products manufactures physical goods — aluminum foil, trash bags, disposable tableware, and food storage products — that AI structurally cannot displace [1]. Consumers will always need physical cooking, cleaning, and storage products regardless of AI advancement. The company's manufacturing operations (aluminum rolling, film extrusion, molding) involve physical processes that AI cannot substitute. No analysts have flagged AI as a risk to the household consumables category. AI Opportunity (0/1): No AI-related revenue. The company may eventually use AI for demand forecasting and manufacturing optimization but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Reynolds Consumer Products Q4 2025 Earnings and FY2026 Guidance — $3.72B revenue, -3% to +1% 2026 guidance, $660-675M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Reynolds Consumer Products leadership and CIO Rita Fisher on innovation culture; CEO Scott Huckins appointment January 2025</w:t>
      </w:r>
    </w:p>
    <w:p>
      <w:pPr>
        <w:spacing w:before="20" w:after="20"/>
        <w:ind w:left="170"/>
      </w:pPr>
      <w:r>
        <w:rPr>
          <w:rFonts w:ascii="Calibri" w:hAnsi="Calibri"/>
          <w:b/>
          <w:color w:val="4A6B25"/>
          <w:sz w:val="15"/>
        </w:rPr>
        <w:t xml:space="preserve">3. </w:t>
      </w:r>
      <w:r>
        <w:rPr>
          <w:rFonts w:ascii="Calibri" w:hAnsi="Calibri"/>
          <w:b w:val="0"/>
          <w:color w:val="3A4A28"/>
          <w:sz w:val="17"/>
        </w:rPr>
        <w:t>Reynolds Consumer Products Sustainability Policy — SBTi-approved targets (25% GHG reduction by 2030), How2Recycle labeling, sustainable sourcing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REYN (Reynolds Consumer Products),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