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RGLD</w:t>
      </w:r>
      <w:r>
        <w:rPr>
          <w:rFonts w:ascii="Calibri" w:hAnsi="Calibri"/>
          <w:b/>
          <w:color w:val="1A2010"/>
          <w:sz w:val="40"/>
        </w:rPr>
        <w:t xml:space="preserve">  Royal Gold, Inc.</w:t>
      </w:r>
    </w:p>
    <w:p>
      <w:pPr>
        <w:spacing w:after="120"/>
      </w:pPr>
      <w:r>
        <w:rPr>
          <w:rFonts w:ascii="Calibri" w:hAnsi="Calibri"/>
          <w:b/>
          <w:color w:val="6E8450"/>
          <w:sz w:val="18"/>
        </w:rPr>
        <w:t>GROWTH SLEEVE · 2026-05-02 · Inspire: 42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United States</w:t>
      </w:r>
    </w:p>
    <w:p>
      <w:pPr>
        <w:spacing w:after="80"/>
      </w:pPr>
      <w:r>
        <w:rPr>
          <w:rFonts w:ascii="Calibri" w:hAnsi="Calibri"/>
          <w:b w:val="0"/>
          <w:color w:val="3A4A28"/>
          <w:sz w:val="20"/>
        </w:rPr>
        <w:t>Royal Gold, Inc. acquires and manages precious metal streams and royalties, providing upfront capital to mining operators in exchange for the right to purchase a percentage of future gold, silver, and copper production at below-market prices. The company holds interests in 175+ properties across 5 continents.</w:t>
      </w:r>
    </w:p>
    <w:p>
      <w:r>
        <w:rPr>
          <w:rFonts w:ascii="Calibri" w:hAnsi="Calibri"/>
          <w:b/>
          <w:color w:val="6E8450"/>
          <w:sz w:val="18"/>
        </w:rPr>
        <w:t>39 Employees · https://www.royalgold.com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Royal Gold's business model innovation lies in its capital-light streaming/royalty structure that provides leveraged exposure to gold prices without operational mining risk [1]. However, the model itself has been widely replicated by Franco-Nevada, Wheaton Precious Metals, and Osisko, reducing first-mover advantage. With only 39 employees, R&amp;D is non-existent — the company innovates through deal structuring and portfolio diversification rather than technology. Recent asset acquisitions demonstrate continued deal-sourcing capability but not breakthrough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Bill Heissenbuttel's 6-year tenure has delivered consistent shareholder returns and a culture of disciplined capital allocation [3]. With only 39 employees, Royal Gold operates as a tight-knit team of mining finance professionals with deep industry expertise. The company's investment stewardship framework requires operators to comply with environmental and social standards, demonstrating values-driven governance [4]. The lean organizational structure limits broad cultural impact but enables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 profit margins of 45.6% reflect the royalty model's inherent capital efficiency, with minimal operating costs against streaming revenue [1]. Revenue surged 86.1% YoY to $1.02B driven by record gold prices and strong production from Peñasquito and Cortez CC Zone. D/E of only 12.9% provides significant financial flexibility for future acquisitions [2]. However, P/E of 34.5x and earnings decline of -28.9% (likely due to prior year one-time gains) suggest rich valuation. Forward P/E of 16.2x is more reasonable given 14% revenue growth forecast.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Royal Gold's royalty/streaming model is inherently infinite-game — contracts span decades, relationships with operators are multi-generational, and the company's value compounds over time without depleting assets [1]. The investment stewardship framework requiring ESG compliance from operators demonstrates long-term thinking beyond quarterly returns [4].</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Royal Gold's purpose of providing non-dilutive capital to mining operators while generating sustainable returns for shareholders through multi-decade royalty streams embodies long-term value creation [1]. The investment stewardship program holding operators accountable for environmental and social performance adds purpose beyond pure profit [4].</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39 employees, Royal Gold operates as a highly specialized team of mining finance experts where individual contribution is visible and valued [3]. CEO Heissenbuttel's 6-year stable tenure and consistent strategic direction suggest strong internal alignment. The lean structure necessitates trust and empowerment at every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Royal Gold competes directly with Franco-Nevada, Wheaton Precious Metals, and Osisko for streaming deals, viewing competition as a spur to sharpen deal structuring and expand into new geographies [1]. The company's willingness to partner with rivals on larger transactions demonstrates collaborative competitive awareness rather than zero-sum thinking.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expanded from pure gold royalties into silver, copper, and base metal streams, demonstrating portfolio flexibility [2]. Recent diversification into battery metals and critical minerals positions suggests willingness to evolve with the energy transition. The capital-light model inherently allows pivoting to wherever value emerges in mining.</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Royal Gold published its first Climate Report and Asset Handbook in 2024, holding operators accountable despite political backlash against ESG in the US mining sector [4]. The company maintains discipline in saying no to overpriced deals during gold bull markets, demonstrating conviction over consensus, even when short-term growth appears slower than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Royal Gold offers leveraged exposure to gold prices through a best-in-class streaming/royalty model with 45.6% profit margins, minimal debt (D/E 12.9%), and a diversified portfolio of 175+ properties across 5 continents. Revenue surged 86% in the trailing twelve months driven by record gold prices and strong operator production, with 14% annual growth forecast ahead [1][2].</w:t>
      </w:r>
    </w:p>
    <w:p>
      <w:pPr>
        <w:spacing w:after="120"/>
      </w:pPr>
      <w:r>
        <w:rPr>
          <w:rFonts w:ascii="Calibri" w:hAnsi="Calibri"/>
          <w:b w:val="0"/>
          <w:color w:val="3A4A28"/>
          <w:sz w:val="20"/>
        </w:rPr>
        <w:t>The forward P/E of 16.2x is reasonable for a high-margin, capital-light compounder, though the trailing P/E of 34.5x reflects earnings volatility from one-time items. The model's inherent inflation protection and lack of operational risk make RGLD a quality HOLD for gold-exposed portfolios, with upside dependent on continued gold price strength and accretive deal deployment of the clean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gold prices above $2,500/oz driving record revenue and cash flow through leveraged streaming agreements</w:t>
      </w:r>
    </w:p>
    <w:p>
      <w:pPr>
        <w:spacing w:before="40" w:after="40"/>
        <w:ind w:left="283"/>
      </w:pPr>
      <w:r>
        <w:rPr>
          <w:rFonts w:ascii="Calibri" w:hAnsi="Calibri"/>
          <w:b/>
          <w:color w:val="4A6B25"/>
          <w:sz w:val="20"/>
        </w:rPr>
        <w:t xml:space="preserve">2. </w:t>
      </w:r>
      <w:r>
        <w:rPr>
          <w:rFonts w:ascii="Calibri" w:hAnsi="Calibri"/>
          <w:b w:val="0"/>
          <w:color w:val="3A4A28"/>
          <w:sz w:val="20"/>
        </w:rPr>
        <w:t>Deployment of balance sheet capacity (D/E 12.9%) into accretive new streaming/royalty deals during mining sector capital constraints</w:t>
      </w:r>
    </w:p>
    <w:p>
      <w:pPr>
        <w:spacing w:before="40" w:after="40"/>
        <w:ind w:left="283"/>
      </w:pPr>
      <w:r>
        <w:rPr>
          <w:rFonts w:ascii="Calibri" w:hAnsi="Calibri"/>
          <w:b/>
          <w:color w:val="4A6B25"/>
          <w:sz w:val="20"/>
        </w:rPr>
        <w:t xml:space="preserve">3. </w:t>
      </w:r>
      <w:r>
        <w:rPr>
          <w:rFonts w:ascii="Calibri" w:hAnsi="Calibri"/>
          <w:b w:val="0"/>
          <w:color w:val="3A4A28"/>
          <w:sz w:val="20"/>
        </w:rPr>
        <w:t>Production ramp-ups at key assets including Cortez CC Zone and new operators bringing development-stage royalties into production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decline below $2,000/oz would materially compress revenue and earnings given the leveraged exposure model</w:t>
      </w:r>
    </w:p>
    <w:p>
      <w:pPr>
        <w:spacing w:before="40" w:after="40"/>
        <w:ind w:left="283"/>
      </w:pPr>
      <w:r>
        <w:rPr>
          <w:rFonts w:ascii="Calibri" w:hAnsi="Calibri"/>
          <w:b/>
          <w:color w:val="4A6B25"/>
          <w:sz w:val="20"/>
        </w:rPr>
        <w:t xml:space="preserve">2. </w:t>
      </w:r>
      <w:r>
        <w:rPr>
          <w:rFonts w:ascii="Calibri" w:hAnsi="Calibri"/>
          <w:b w:val="0"/>
          <w:color w:val="3A4A28"/>
          <w:sz w:val="20"/>
        </w:rPr>
        <w:t>Operator risk — mine closures, permitting issues, or production shortfalls at key assets like Peñasquito could reduce royalty payments</w:t>
      </w:r>
    </w:p>
    <w:p>
      <w:pPr>
        <w:spacing w:before="40" w:after="40"/>
        <w:ind w:left="283"/>
      </w:pPr>
      <w:r>
        <w:rPr>
          <w:rFonts w:ascii="Calibri" w:hAnsi="Calibri"/>
          <w:b/>
          <w:color w:val="4A6B25"/>
          <w:sz w:val="20"/>
        </w:rPr>
        <w:t xml:space="preserve">3. </w:t>
      </w:r>
      <w:r>
        <w:rPr>
          <w:rFonts w:ascii="Calibri" w:hAnsi="Calibri"/>
          <w:b w:val="0"/>
          <w:color w:val="3A4A28"/>
          <w:sz w:val="20"/>
        </w:rPr>
        <w:t>Trailing P/E of 34.5x leaves limited margin of safety if earnings growth forecasts of 17% annually disappoint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precious metals streaming/royalty business model is among the most AI-resistant in the market. Royal Gold's value proposition — providing upfront capital for future metal production rights — involves human relationship-driven deal negotiation, geological expertise, and financial structuring that AI cannot easily disrupt [1]. With only 39 employees, automation risk to the workforce is negligible. AI may modestly benefit the company through improved geological modeling by operators and enhanced due diligence analytics, but the core business requires no fundamental adaptation. AI Risk Protection score of 8 plus AI Opportunity tiebreaker of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Royal Gold FY2024 Q4/Full Year Record Results, BusinessWire, February 2025</w:t>
      </w:r>
    </w:p>
    <w:p>
      <w:pPr>
        <w:spacing w:before="20" w:after="20"/>
        <w:ind w:left="170"/>
      </w:pPr>
      <w:r>
        <w:rPr>
          <w:rFonts w:ascii="Calibri" w:hAnsi="Calibri"/>
          <w:b/>
          <w:color w:val="4A6B25"/>
          <w:sz w:val="15"/>
        </w:rPr>
        <w:t xml:space="preserve">2. </w:t>
      </w:r>
      <w:r>
        <w:rPr>
          <w:rFonts w:ascii="Calibri" w:hAnsi="Calibri"/>
          <w:b w:val="0"/>
          <w:color w:val="3A4A28"/>
          <w:sz w:val="17"/>
        </w:rPr>
        <w:t>Yahoo Finance — RGLD key statistics and analyst estimates,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Royal Gold Leadership and Management Team Analysis,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Royal Gold 2023 Environmental, Social and Governance Report and Investment Stewardship page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