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RHI</w:t>
      </w:r>
      <w:r>
        <w:rPr>
          <w:rFonts w:ascii="Calibri" w:hAnsi="Calibri"/>
          <w:b/>
          <w:color w:val="1A2010"/>
          <w:sz w:val="40"/>
        </w:rPr>
        <w:t xml:space="preserve">  Robert Half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2026-04-08 · Inspire: 54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Staffing &amp; Employment Services · NYQ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Robert Half Inc. is a global staffing and consulting firm specializing in finance, technology, legal, and administrative placement with 14,500 employees.</w:t>
      </w:r>
    </w:p>
    <w:p>
      <w:r>
        <w:rPr>
          <w:rFonts w:ascii="Calibri" w:hAnsi="Calibri"/>
          <w:b/>
          <w:color w:val="6E8450"/>
          <w:sz w:val="18"/>
        </w:rPr>
        <w:t>14,500 Employees · https://www.roberthalf.com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Revenue declined 5.8% YoY in a challenging staffing market. AI Deployment (1/2): Deploying AI for candidate matching and placement optimization [1]. Market Share (1/2): Leading specialized staffing firm but market share is fragmenting. Pipeline (0/2): No significant pipeline. R&amp;D Intensity (1/1): Above-average tech investment for staffing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Clear talent matching mission. Community Impact (1/2): 14,500 employees across communities. Retention (0/2): No data. Insider Buying (1/2): Some alignment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RHI shows modest financials. Forward P/E of 10.45 is attractive, but profit margin of 2.5% is very low [1]. ROE of 10.0% below target. D/E of 19.2% is conservative. Revenue declined 5.8%. Dividend yield of 9.8% is very high with 177.4% payout ratio — sustainability concern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Robert Half has a 70+ year history demonstrating long-term endurance but faces AI-driven existential questions about the staffing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Shallow cause (1 pt → 4/10)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(1 pt → 6/10): 14,500 employees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Finite (0 pts → 3/10)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(1 pt → 6/10): Expanded into consulting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(0 pts → 2/10)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RHI offers a 9.8% dividend yield with forward P/E of 10.45, but the payout ratio of 177.4% is unsustainable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Revenue declining 5.8% with earnings down 39.7% and direct AI disruption risk to the staffing model make this a high-risk value trap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Staffing market recovery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AI-enhanced placement tools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Consulting segment growth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disruption of staffing model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Unsustainable 177.4% dividend payout ratio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Declining revenue and earnings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Staffing is directly exposed to AI disruption — AI hiring tools, automated screening, and AI agents handling professional tasks could reduce demand for temporary staffing [1]. Professional services like accounting and legal temp work face AI substitution risk. AI Opportunity (0/1): No AI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RHI (Robert Half),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