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RH</w:t>
      </w:r>
      <w:r>
        <w:rPr>
          <w:rFonts w:ascii="Calibri" w:hAnsi="Calibri"/>
          <w:b/>
          <w:color w:val="1A2010"/>
          <w:sz w:val="40"/>
        </w:rPr>
        <w:t xml:space="preserve">  RH</w:t>
      </w:r>
    </w:p>
    <w:p>
      <w:pPr>
        <w:spacing w:after="120"/>
      </w:pPr>
      <w:r>
        <w:rPr>
          <w:rFonts w:ascii="Calibri" w:hAnsi="Calibri"/>
          <w:b/>
          <w:color w:val="6E8450"/>
          <w:sz w:val="18"/>
        </w:rPr>
        <w:t>GROWTH SLEEVE · 2026-05-04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RH operates as a luxury retailer and lifestyle brand in the home furnishings market across the United States, Canada, the United Kingdom, Germany, Belgium, and Spain. The company sells furniture, lighting, textiles, bathware, decor, and outdoor furnishings through immersive Design Galleries, hospitality venues (including guesthouses and restaurants), websites, and sourcebooks. Founded in 1980 and headquartered in Corte Madera, California.</w:t>
      </w:r>
    </w:p>
    <w:p>
      <w:r>
        <w:rPr>
          <w:rFonts w:ascii="Calibri" w:hAnsi="Calibri"/>
          <w:b/>
          <w:color w:val="6E8450"/>
          <w:sz w:val="18"/>
        </w:rPr>
        <w:t>6,510 Employees · https://www.rh.com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Gary Friedman has transformed RH from a mall-based furniture retailer into a luxury lifestyle brand with immersive Design Galleries, integrated restaurants and guesthouses, European expansion (UK, Germany, Belgium, Spain), and a hospitality-forward retail model — one of the most ambitious retail reinventions of the last decade [1][2]. AI Deployment (0/2): No evidence of AI-powered products or AI-driven operational efficiencies; RH's competitive advantage is built on physical experience, design curation, and brand storytelling rather than technology [2]. Market Share (2/2): RH dominates the luxury home furnishings segment with no direct competitor offering the same gallery-scale, experiential retail format; the brand has defined and leads a category it largely created [1]. Pipeline (1/2): International gallery expansion continues with new European locations, and management has outlined a path to $5.4B-$5.8B revenue by 2030, but specific new product platforms or next-generation concepts beyond gallery format were not detailed [1]. R&amp;D Intensity (1/1): Significant investment in gallery development, brand evolution, and new market entry — RH's renovation of historic landmark buildings into galleries represents above-average creative investment relative to specialty retail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Friedman's vision for RH is genuinely distinctive — transforming from a furniture retailer into 'a luxury lifestyle brand representing an ecosystem of products, places, services and spaces' [2]. His 'Daily Values Adventure' and philosophy of 'continuously destroying my own reality to create tomorrow's future' reflect specific, intentional purpose. However, the vision is deeply personal to Friedman and hasn't been institutionalized beyond him. Community Impact (1/2): RH's renovation of historic landmark buildings into galleries contributes to urban revitalization, and FSC-certified sourcebooks and responsible wood sourcing demonstrate environmental awareness, but no significant charitable foundation or community programs were found [3]. Employee Retention (0/2): RH's Executive Team is rated 'D-' on Comparably (bottom 10% of similar-size companies), and Friedman has acknowledged a tendency to 'lash out at subordinates who miss their goals' — this is a significant cultural concern despite the visionary leadership [2]. Insider Buying (1/2): Director Mark DeMilio received stock awards in April 2026, but President Eri Chaya sold $2.4M+ in shares across multiple transactions in March-April 2026 — net insider selling activity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RH trades at a compelling 13.6x forward P/E with a PEG ratio of 0.67 (below 1.0), signaling the market undervalues its growth trajectory [4]. However, D/E of 6,550% reflects an extremely leveraged capital structure — $3.97B debt against minimal equity driven by aggressive share buybacks that have nearly eliminated book value [4]. Revenue of $3.44B grew 3.7% YoY in FY2026 (ending January 2026), recovering from the 2023-2024 housing downturn trough, with guidance for 4-8% growth in FY2027 [1]. Profit margin of 3.6% is thin for a luxury brand, though operating margins of 11.5% and gross margins of 44.1% are healthier. Free cash flow of $302M supports operations, but the $3.97B debt load against $41M cash creates fragility. Guided for 14-16% adjusted EBITDA margin in 2026 expanding toward 25-28% by 2030 [1]. Liquidity is strong at $169M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RH under Gary Friedman embodies a paradox — the vision is profoundly infinite (transforming luxury retail through experiential galleries and lifestyle brand evolution), but the execution carries finite-game risks (extreme leverage, aggressive buybacks, autocratic leadership style, and poor employee sentiment). Friedman's personal genius is the company's greatest asset and greatest vulnerability.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Friedman's vision to transform RH from a furniture retailer into 'a luxury ecosystem of products, places, services and spaces' is genuinely distinctive and has been partially validated by the gallery concept's success across multiple countries [1][2]. His philosophy of 'continuously destroying my own reality to create tomorrow's future' reflects authentic commitment to long-term transformation. However, the cause is inseparable from Friedman personally — it's unclear whether RH's Just Cause survives his departure.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RH's Executive Team is rated 'D-' on Comparably (bottom 10% of similar-size companies), and Friedman has publicly acknowledged a tendency to 'lash out at subordinates who miss their goals' [2]. The '10-hour adventure' meetings and the abandoned ceremony requiring executives to promise to 'continuously destroy my own reality' suggest a demanding, personality-driven culture that may suppress dissent. Sinek would flag this as a low-trust environment where people protect themselves rather than advance the cause.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RH's competitive positioning frames the company as operating in a category of one — Friedman positions RH not against furniture retailers but against luxury experiences broadly [2]. While this reflects ambition, it also suggests a reluctance to acknowledge worthy rivals whose strengths could drive improvement. The company's language emphasizes 'transformation' and 'vision' rather than learning from competitors. (0 pts)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RH has undergone one of the most dramatic retail reinventions in modern history — from a mall-based Restoration Hardware chain to immersive luxury Design Galleries with restaurants, guesthouses, and a hospitality-forward model [1][2]. The international expansion into Europe, the shift from product-focused to experience-focused retail, and the brand name change from 'Restoration Hardware' to 'RH' all represent transformative flexibility driven by creative vision rather than desperation.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Friedman demonstrated exceptional courage by betting the company on the gallery format when traditional retail was collapsing, investing heavily in European expansion during a housing downturn, and taking on $3.97B in debt to fund buybacks and gallery development [1]. The willingness to 'continuously destroy my own reality' is not just rhetoric — RH has repeatedly reinvented itself at significant financial risk. However, the extreme leverage ($3.97B debt vs. $41M cash) may cross the line from courageous to reckless.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RH is a uniquely positioned luxury lifestyle brand trading at 13.6x forward earnings with a PEG ratio of 0.67, reflecting deep market skepticism about its recovery trajectory [4]. Gary Friedman's transformation from mall-based Restoration Hardware to immersive Design Galleries with integrated hospitality is one of retail's most ambitious reinventions, creating a category with no direct competitors [1][2]. FY2026 revenue of $3.44B grew 3.7% as the housing recovery begins, with management guiding 4-8% growth in FY2027 accelerating to 10-12% in FY2028, targeting $5.4B-$5.8B by 2030 [1]. Gross margins of 44.1% confirm luxury pricing power, and the path from 14-16% EBITDA margin in 2026 to 25-28% by 2030 implies significant earnings upside. Free cash flow of $302M and projected $300-$400M in 2026 supports debt service. At $130 per share, the stock is pricing in almost none of the long-term margin expansion story [1].</w:t>
      </w:r>
    </w:p>
    <w:p>
      <w:pPr>
        <w:spacing w:after="120"/>
      </w:pPr>
      <w:r>
        <w:rPr>
          <w:rFonts w:ascii="Calibri" w:hAnsi="Calibri"/>
          <w:b w:val="0"/>
          <w:color w:val="3A4A28"/>
          <w:sz w:val="20"/>
        </w:rPr>
        <w:t>The bear case is dominated by balance sheet risk and key-person dependence. D/E of 6,550% with $3.97B debt against $41M cash creates existential fragility — a sustained revenue decline could trigger a debt spiral [4]. Profit margin of 3.6% leaves almost no cushion for execution errors. Revenue has declined from a $3.59B peak in FY2023 and the 5-year CAGR is approximately -2%, raising questions about whether the housing recovery will materialize as guided [1]. The executive team's 'D-' Comparably rating and Friedman's acknowledged tendency to lash out at subordinates signal organizational dysfunction that could hinder the margin expansion story [2]. Friedman is irreplaceable — his departure would likely cause a severe repricing. International expansion (UK, Germany, Belgium, Spain) adds execution risk in unfamiliar luxury markets. Tariff impacts and supply chain disruption could further pressure margins in the near term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acceleration from 4-8% in FY2027 to 10-12% in FY2028 as housing market recovery strengthens and European galleries mature, supporting the path to $5.4B-$5.8B by 2030 [1]</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from 14-16% in 2026 toward 25-28% by 2030 would drive dramatic earnings growth — at 25% EBITDA margin on $5B+ revenue, RH would generate $1.25B+ EBITDA vs. current ~$500M [1]</w:t>
      </w:r>
    </w:p>
    <w:p>
      <w:pPr>
        <w:spacing w:before="40" w:after="40"/>
        <w:ind w:left="283"/>
      </w:pPr>
      <w:r>
        <w:rPr>
          <w:rFonts w:ascii="Calibri" w:hAnsi="Calibri"/>
          <w:b/>
          <w:color w:val="4A6B25"/>
          <w:sz w:val="20"/>
        </w:rPr>
        <w:t xml:space="preserve">3. </w:t>
      </w:r>
      <w:r>
        <w:rPr>
          <w:rFonts w:ascii="Calibri" w:hAnsi="Calibri"/>
          <w:b w:val="0"/>
          <w:color w:val="3A4A28"/>
          <w:sz w:val="20"/>
        </w:rPr>
        <w:t>New gallery openings in European capitals and continued U.S. gallery refreshes driving brand elevation and higher revenue per square foot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of 6,550% and $3.97B debt against $41M cash — a sustained revenue decline or rate increase could trigger covenant issues or force dilutive equity raises [4]</w:t>
      </w:r>
    </w:p>
    <w:p>
      <w:pPr>
        <w:spacing w:before="40" w:after="40"/>
        <w:ind w:left="283"/>
      </w:pPr>
      <w:r>
        <w:rPr>
          <w:rFonts w:ascii="Calibri" w:hAnsi="Calibri"/>
          <w:b/>
          <w:color w:val="4A6B25"/>
          <w:sz w:val="20"/>
        </w:rPr>
        <w:t xml:space="preserve">2. </w:t>
      </w:r>
      <w:r>
        <w:rPr>
          <w:rFonts w:ascii="Calibri" w:hAnsi="Calibri"/>
          <w:b w:val="0"/>
          <w:color w:val="3A4A28"/>
          <w:sz w:val="20"/>
        </w:rPr>
        <w:t>Key-person risk: Gary Friedman IS the brand, vision, and strategy — his departure (voluntary or involuntary) would likely cause a 30%+ stock decline given the 'D-' executive team rating [2]</w:t>
      </w:r>
    </w:p>
    <w:p>
      <w:pPr>
        <w:spacing w:before="40" w:after="40"/>
        <w:ind w:left="283"/>
      </w:pPr>
      <w:r>
        <w:rPr>
          <w:rFonts w:ascii="Calibri" w:hAnsi="Calibri"/>
          <w:b/>
          <w:color w:val="4A6B25"/>
          <w:sz w:val="20"/>
        </w:rPr>
        <w:t xml:space="preserve">3. </w:t>
      </w:r>
      <w:r>
        <w:rPr>
          <w:rFonts w:ascii="Calibri" w:hAnsi="Calibri"/>
          <w:b w:val="0"/>
          <w:color w:val="3A4A28"/>
          <w:sz w:val="20"/>
        </w:rPr>
        <w:t>Near-term revenue headwinds including Q1 FY2027 guidance of -2% to -4% revenue decline, tariff impacts on imported furnishings, and supply chain disruptions that could delay the recovery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RH's luxury experiential retail model — immersive galleries, restaurants, guesthouses — involves physical spaces and sensory experiences that AI cannot replicate, providing meaningful protection for the core concept [1]. However, AI-powered interior design tools (from companies like Havenly, Modsy successors, and Apple's AR features) could erode RH's interior design services revenue by democratizing high-end design advice. AI-driven personalization in e-commerce could intensify competition from online luxury home brands. The sourcebook/catalog business model faces digital disruption. RH's moat is brand and experience, not technology, leaving it partially exposed. AI Opportunity (0/1): No evidence of AI-powered products, AI-driven design tools, or AI revenue generation. RH's competitive advantage is fundamentally analog — built on physical spaces, craftsmanship curation, and brand mystique rather than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RH FY2026 Earnings Release and Guidance — $3.44B revenue, 4-8% FY2027 growth guidance, 14-16% EBITDA margin, $5.4-5.8B 2030 target</w:t>
      </w:r>
    </w:p>
    <w:p>
      <w:pPr>
        <w:spacing w:before="20" w:after="20"/>
        <w:ind w:left="170"/>
      </w:pPr>
      <w:r>
        <w:rPr>
          <w:rFonts w:ascii="Calibri" w:hAnsi="Calibri"/>
          <w:b/>
          <w:color w:val="4A6B25"/>
          <w:sz w:val="15"/>
        </w:rPr>
        <w:t xml:space="preserve">2. </w:t>
      </w:r>
      <w:r>
        <w:rPr>
          <w:rFonts w:ascii="Calibri" w:hAnsi="Calibri"/>
          <w:b w:val="0"/>
          <w:color w:val="3A4A28"/>
          <w:sz w:val="17"/>
        </w:rPr>
        <w:t>Fortune, Comparably, Gary Friedman Wikipedia — CEO leadership philosophy, 'D-' executive team rating, 10-hour adventure meetings, brand transformation history</w:t>
      </w:r>
    </w:p>
    <w:p>
      <w:pPr>
        <w:spacing w:before="20" w:after="20"/>
        <w:ind w:left="170"/>
      </w:pPr>
      <w:r>
        <w:rPr>
          <w:rFonts w:ascii="Calibri" w:hAnsi="Calibri"/>
          <w:b/>
          <w:color w:val="4A6B25"/>
          <w:sz w:val="15"/>
        </w:rPr>
        <w:t xml:space="preserve">3. </w:t>
      </w:r>
      <w:r>
        <w:rPr>
          <w:rFonts w:ascii="Calibri" w:hAnsi="Calibri"/>
          <w:b w:val="0"/>
          <w:color w:val="3A4A28"/>
          <w:sz w:val="17"/>
        </w:rPr>
        <w:t>RH Investor Relations ESG page — FSC-certified sourcebooks, responsible wood sourcing, historic landmark gallery renovations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RH — $129.97 price, $2.45B market cap, D/E 6,550%, PEG 0.67, retrieved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