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RIG</w:t>
      </w:r>
      <w:r>
        <w:rPr>
          <w:rFonts w:ascii="Calibri" w:hAnsi="Calibri"/>
          <w:b/>
          <w:color w:val="1A2010"/>
          <w:sz w:val="40"/>
        </w:rPr>
        <w:t xml:space="preserve">  Transocean Ltd.</w:t>
      </w:r>
    </w:p>
    <w:p>
      <w:pPr>
        <w:spacing w:after="120"/>
      </w:pPr>
      <w:r>
        <w:rPr>
          <w:rFonts w:ascii="Calibri" w:hAnsi="Calibri"/>
          <w:b/>
          <w:color w:val="6E8450"/>
          <w:sz w:val="18"/>
        </w:rPr>
        <w:t>GROWTH SLEEVE · 2026-05-12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Drilling · NYSE · Switzerland</w:t>
      </w:r>
    </w:p>
    <w:p>
      <w:pPr>
        <w:spacing w:after="80"/>
      </w:pPr>
      <w:r>
        <w:rPr>
          <w:rFonts w:ascii="Calibri" w:hAnsi="Calibri"/>
          <w:b w:val="0"/>
          <w:color w:val="3A4A28"/>
          <w:sz w:val="20"/>
        </w:rPr>
        <w:t>Transocean provides offshore contract drilling services for oil and gas wells worldwide, operating a fleet of 27 mobile offshore drilling units consisting of 20 ultra-deepwater floaters and 7 harsh environment floaters. The company specializes in technically demanding deepwater and harsh environment drilling services.</w:t>
      </w:r>
    </w:p>
    <w:p>
      <w:r>
        <w:rPr>
          <w:rFonts w:ascii="Calibri" w:hAnsi="Calibri"/>
          <w:b/>
          <w:color w:val="6E8450"/>
          <w:sz w:val="18"/>
        </w:rPr>
        <w:t>5,220 Employees · https://www.deepwater.com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scores 1/3 — Transocean has not launched transformative new products but has executed incremental fleet upgrades and secured the $5.8B all-stock Valaris merger to create the world's largest offshore driller with $10B in combined backlog [1]. AI Deployment scores 1/2 — the company uses data, automation, and AI to enhance reliability and decision-making across its fleet, with revenue efficiency exceeding 97% in Q1 2026, though no externally shipped AI products exist [2]. Market Share Leadership scores 1/2 — Transocean operates the youngest and most capable ultra-deepwater fleet, and average daily revenue of $476,000 in Q1 2026 was the highest in over a decade, but the offshore drilling market remains fragmented [1]. Product Pipeline scores 1/2 — $7.1B in contract backlog provides revenue visibility, and the Valaris merger creates a combined fleet with scale advantages [1]. R&amp;D Intensity scores 1/1 at industry average for offshore drilling, with focus on operational technology rather than fundamental R&amp;D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scores 1/4 — Transocean's positioning around safe, reliable deepwater drilling describes an operational standard rather than an inspiring purpose or vision for a better future [3]. Community &amp; Charitable Impact scores 1/2 — the company publishes sustainability disclosures and commits to environmental stewardship, but no standout community programs or dollar-specific charitable initiatives were identified [3]. Employee Retention scores 1/2 — Glassdoor rating of 4.2/5 with 91% recommending the company and 4.4 for culture/values is strong for the industry; employees cite culture, career development, and benefits as positives [2]. Insider Buying scores 1/2 — new CEO Keelan Adamson has been with the company 30 years (since 1995), signaling deep personal alignment, but no specific recent net buying data was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10 growth weight units. Strengths: D/E of 64% is below the 70% target (1.0/1.0) — notably the company reduced total debt from $6.73B to $5.14B YoY and guides to $4.9B by year-end [1]. Revenue growth of 19.3% YoY exceeds the 10% target (1.0/1.0). Forward PEG of 1.17 scores well (0.92/1.0 at 2x weight). Revenue 5yr CAGR estimated at ~5% scores 0.67 at 2x weight. Weaknesses: trailing ROE of -30% (0.0/1.0 at 2x weight) and profit margin of -66.8% (0.0/1.0) reflect large GAAP impairments and restructuring charges — the operating business turned profitable in Q1 2026 with $71M net income on $1.08B revenue [1]. Forward P/E of 31.8 scores 0.70.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Transocean has endured through catastrophic crises (Deepwater Horizon 2010) and multiple oil price cycles, demonstrating survival resilience but not the kind of purpose-driven infinite thinking Sinek values. The company's strategy is fundamentally tied to commodity prices and E&amp;P capital spending cycles, making long-term vision difficult to distinguish from cyclical positioning [1][2].</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Transocean's purpose of providing safe, efficient deepwater drilling services is operational and functional — it describes what the company does, not why it matters in a larger sense [3]. The offshore drilling industry exists to extract fossil fuels, and Transocean's strategy is oriented around maximizing rig utilization and day rates in favorable commodity cycles. Sinek would note the absence of any transcendent purpose beyond serving E&amp;P customers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show a strong culture score of 4.4/5 with 91% of employees recommending Transocean, and employees specifically cite culture, career development, and benefits as strengths [2]. New CEO Keelan Adamson's 30-year tenure since 1995 — rising from rig management to CEO through internal succession — signals deep organizational trust and meritocratic advancement. The internal succession planning strategy (announced before Adamson's April 2025 appointment) reflects leadership continuity and trust in the team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Transocean's $5.8B all-stock Valaris merger aims to create the world's largest offshore driller with a combined $10B backlog, which is a classic finite-game consolidation play — acquiring competitors to dominate market share rather than learning from them [1]. The merger language emphasizes scale, synergies ($200M+), and market dominance rather than competitive improvement or self-betterment.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Transocean has survived the Deepwater Horizon disaster (2010), multiple oil price collapses, and near-bankruptcy during the 2020 downturn, demonstrating survival instinct [3]. The company has evolved by cold-stacking and retiring older rigs to focus on ultra-deepwater and harsh environment assets. However, these are adaptive responses to market forces rather than proactive strategic reinvention — the company has remained fundamentally an offshore driller throughout.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Transocean's aggressive debt reduction — from $6.73B to $5.14B in one year with a target of $4.9B by year-end 2026 — represents disciplined capital allocation that prioritizes long-term financial health over short-term returns [1]. The Valaris merger is a bold strategic bet on deepwater's future. However, these decisions are driven by financial necessity (overleveraged balance sheet) and market opportunity rather than cause-driven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Transocean is executing a deepwater drilling supercycle play with Q1 2026 contract drilling revenue of $1.08B, net income of $71M (a major inflection from trailing -66.8% GAAP margins), and adjusted EBITDA of $440M at 40.7% margins [1]. Average daily revenue of $476,000 — the highest in over a decade — reflects tightening ultra-deepwater supply. The $7.1B contract backlog and $5.8B Valaris merger create the world's largest offshore driller with a combined $10B backlog and $200M+ in synergies [1]. Aggressive debt reduction from $6.73B to a guided $4.9B by year-end improves the balance sheet trajectory.</w:t>
      </w:r>
    </w:p>
    <w:p>
      <w:pPr>
        <w:spacing w:after="120"/>
      </w:pPr>
      <w:r>
        <w:rPr>
          <w:rFonts w:ascii="Calibri" w:hAnsi="Calibri"/>
          <w:b w:val="0"/>
          <w:color w:val="3A4A28"/>
          <w:sz w:val="20"/>
        </w:rPr>
        <w:t>The bear case centers on cyclicality and leverage. Trailing ROE of -30% and profit margin of -66.8% reflect the legacy of impairments and restructuring that define Transocean's recent GAAP history [1]. At $6.55 per share ($7.3B market cap), the stock trades at 31.8x forward earnings — expensive for a cyclical driller at potentially peak margins. The Valaris merger adds integration risk and dilution. Deepwater utilization approaching 100% by 2027 is bullish but also means the upcycle may be mature. Any oil price decline below $60 would compress E&amp;P capex budgets and rig day rates, exposing Transocean's still-leveraged balance sheet to another downturn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Deepwater utilization approaching 100% by end of 2027 driving further day rate expansion beyond the current decade-high $476,000 average [1]</w:t>
      </w:r>
    </w:p>
    <w:p>
      <w:pPr>
        <w:spacing w:before="40" w:after="40"/>
        <w:ind w:left="283"/>
      </w:pPr>
      <w:r>
        <w:rPr>
          <w:rFonts w:ascii="Calibri" w:hAnsi="Calibri"/>
          <w:b/>
          <w:color w:val="4A6B25"/>
          <w:sz w:val="20"/>
        </w:rPr>
        <w:t xml:space="preserve">2. </w:t>
      </w:r>
      <w:r>
        <w:rPr>
          <w:rFonts w:ascii="Calibri" w:hAnsi="Calibri"/>
          <w:b w:val="0"/>
          <w:color w:val="3A4A28"/>
          <w:sz w:val="20"/>
        </w:rPr>
        <w:t>$5.8B Valaris merger creating the world's largest offshore driller with $10B combined backlog and $200M+ annual synergies [1]</w:t>
      </w:r>
    </w:p>
    <w:p>
      <w:pPr>
        <w:spacing w:before="40" w:after="40"/>
        <w:ind w:left="283"/>
      </w:pPr>
      <w:r>
        <w:rPr>
          <w:rFonts w:ascii="Calibri" w:hAnsi="Calibri"/>
          <w:b/>
          <w:color w:val="4A6B25"/>
          <w:sz w:val="20"/>
        </w:rPr>
        <w:t xml:space="preserve">3. </w:t>
      </w:r>
      <w:r>
        <w:rPr>
          <w:rFonts w:ascii="Calibri" w:hAnsi="Calibri"/>
          <w:b w:val="0"/>
          <w:color w:val="3A4A28"/>
          <w:sz w:val="20"/>
        </w:rPr>
        <w:t>Continued debt reduction toward $4.9B by year-end 2026 (from $6.73B) improving credit profile and eventually enabling shareholder returns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Oil price decline below $60 would compress E&amp;P capital budgets and deepwater rig day rates, exposing Transocean's still-leveraged $5.14B debt load [1]</w:t>
      </w:r>
    </w:p>
    <w:p>
      <w:pPr>
        <w:spacing w:before="40" w:after="40"/>
        <w:ind w:left="283"/>
      </w:pPr>
      <w:r>
        <w:rPr>
          <w:rFonts w:ascii="Calibri" w:hAnsi="Calibri"/>
          <w:b/>
          <w:color w:val="4A6B25"/>
          <w:sz w:val="20"/>
        </w:rPr>
        <w:t xml:space="preserve">2. </w:t>
      </w:r>
      <w:r>
        <w:rPr>
          <w:rFonts w:ascii="Calibri" w:hAnsi="Calibri"/>
          <w:b w:val="0"/>
          <w:color w:val="3A4A28"/>
          <w:sz w:val="20"/>
        </w:rPr>
        <w:t>Valaris merger integration risk — combining two large drilling fleets with different cultures and contracts while managing $10B+ in combined debt could distract management [1]</w:t>
      </w:r>
    </w:p>
    <w:p>
      <w:pPr>
        <w:spacing w:before="40" w:after="40"/>
        <w:ind w:left="283"/>
      </w:pPr>
      <w:r>
        <w:rPr>
          <w:rFonts w:ascii="Calibri" w:hAnsi="Calibri"/>
          <w:b/>
          <w:color w:val="4A6B25"/>
          <w:sz w:val="20"/>
        </w:rPr>
        <w:t xml:space="preserve">3. </w:t>
      </w:r>
      <w:r>
        <w:rPr>
          <w:rFonts w:ascii="Calibri" w:hAnsi="Calibri"/>
          <w:b w:val="0"/>
          <w:color w:val="3A4A28"/>
          <w:sz w:val="20"/>
        </w:rPr>
        <w:t>Trailing GAAP metrics (ROE -30%, profit margin -67%) mask operating improvement but deter institutional investors; the turnaround narrative requires sustained quarterly profitability to gain credibility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scores 8/9 (IMMUNE) — offshore deepwater drilling is a physical-world operation involving massive equipment, extreme environments, and highly specialized human expertise that AI structurally cannot replace [2]. The business requires operating 27 ultra-deepwater and harsh environment drilling rigs in oceans worldwide — this is about as far from AI substitution risk as a business can be. If anything, AI increases demand for energy infrastructure to power data centers, which supports long-term oil and gas exploration. Analysts have not flagged AI as a risk factor for Transocean [1]. AI Opportunity scores 0/1 — while Transocean uses AI/data analytics internally for operational efficiency (revenue efficiency &gt;97%), this does not generate meaningful AI-specific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Transocean Q1 2026 and Q4 2025 Earnings Releases — deepwater.com, GlobeNewsWire, May 2026</w:t>
      </w:r>
    </w:p>
    <w:p>
      <w:pPr>
        <w:spacing w:before="20" w:after="20"/>
        <w:ind w:left="170"/>
      </w:pPr>
      <w:r>
        <w:rPr>
          <w:rFonts w:ascii="Calibri" w:hAnsi="Calibri"/>
          <w:b/>
          <w:color w:val="4A6B25"/>
          <w:sz w:val="15"/>
        </w:rPr>
        <w:t xml:space="preserve">2. </w:t>
      </w:r>
      <w:r>
        <w:rPr>
          <w:rFonts w:ascii="Calibri" w:hAnsi="Calibri"/>
          <w:b w:val="0"/>
          <w:color w:val="3A4A28"/>
          <w:sz w:val="17"/>
        </w:rPr>
        <w:t>Transocean CEO Succession and Glassdoor Culture — Yahoo Finance, Offshore Magazine, Glassdoor, 2025-2026</w:t>
      </w:r>
    </w:p>
    <w:p>
      <w:pPr>
        <w:spacing w:before="20" w:after="20"/>
        <w:ind w:left="170"/>
      </w:pPr>
      <w:r>
        <w:rPr>
          <w:rFonts w:ascii="Calibri" w:hAnsi="Calibri"/>
          <w:b/>
          <w:color w:val="4A6B25"/>
          <w:sz w:val="15"/>
        </w:rPr>
        <w:t xml:space="preserve">3. </w:t>
      </w:r>
      <w:r>
        <w:rPr>
          <w:rFonts w:ascii="Calibri" w:hAnsi="Calibri"/>
          <w:b w:val="0"/>
          <w:color w:val="3A4A28"/>
          <w:sz w:val="17"/>
        </w:rPr>
        <w:t>Transocean Sustainability Disclosure 2023-2024 — deepwater.com</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