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RIO</w:t>
      </w:r>
      <w:r>
        <w:rPr>
          <w:rFonts w:ascii="Calibri" w:hAnsi="Calibri"/>
          <w:b/>
          <w:color w:val="1A2010"/>
          <w:sz w:val="40"/>
        </w:rPr>
        <w:t xml:space="preserve">  Rio Tinto Group</w:t>
      </w:r>
    </w:p>
    <w:p>
      <w:pPr>
        <w:spacing w:after="120"/>
      </w:pPr>
      <w:r>
        <w:rPr>
          <w:rFonts w:ascii="Calibri" w:hAnsi="Calibri"/>
          <w:b/>
          <w:color w:val="6E8450"/>
          <w:sz w:val="18"/>
        </w:rPr>
        <w:t>DIVIDEND SLEEVE · 2026-04-02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United Kingdom</w:t>
      </w:r>
    </w:p>
    <w:p>
      <w:pPr>
        <w:spacing w:after="80"/>
      </w:pPr>
      <w:r>
        <w:rPr>
          <w:rFonts w:ascii="Calibri" w:hAnsi="Calibri"/>
          <w:b w:val="0"/>
          <w:color w:val="3A4A28"/>
          <w:sz w:val="20"/>
        </w:rPr>
        <w:t>Rio Tinto is a global mining and metals company operating across Iron Ore, Aluminium &amp; Lithium, and Copper segments. Founded in 1873 and headquartered in London, the company manages 60 operations across 35 countries. Rio Tinto is the world's largest iron ore producer, a major aluminium smelter, and is building a significant lithium business to serve the energy transition.</w:t>
      </w:r>
    </w:p>
    <w:p>
      <w:r>
        <w:rPr>
          <w:rFonts w:ascii="Calibri" w:hAnsi="Calibri"/>
          <w:b/>
          <w:color w:val="6E8450"/>
          <w:sz w:val="18"/>
        </w:rPr>
        <w:t>56,890 Employees · https://www.riotinto.com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Rio Tinto has executed multiple strategic pivots — divesting coal assets entirely, acquiring Arcadium Lithium to build a world-class lithium business, and advancing Simandou (Guinea) toward first ore shipment received December 2025 [1]. The lithium pivot alone represents a transformative strategic bet with $1B+ capex in 2025 targeting 200,000 tpa capacity by 2028 [1]. AI Deployment (2/2): Rio Tinto has integrated AI across operations for over a decade with measurable results — autonomous haul trucks and drills operate 24/7, predictive maintenance reduces downtime, and AI-powered exploration at Rincon lithium identifies drill targets 100x faster than traditional methods [2]. Cost structure is 18% more efficient than industry peers due to automation [2]. Market Share (2/2): World's largest iron ore producer with dominant Pilbara operations, top-3 global aluminium producer, and rapidly building lithium market share through the Arcadium acquisition and Rincon project [1]. Pipeline (2/2): Simandou targeting 60 Mtpa at full ramp (project nearly two-thirds complete), Rincon lithium targeting 200,000 tpa by 2028, and $650M annualized productivity run rate achieved [1]. R&amp;D Intensity (1/1): A$14.4M Founders Factory partnership in Perth, comprehensive AI ecosystem architecture, and sustained technology investment well above mining industry averages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Rio Tinto's purpose statement around sustainable mining and providing materials essential to human progress is clear but not distinctive among major miners. The commitment to building 'a culture where everyone feels safe, respected and empowered' is genuine but emerged reactively after the Juukan Gorge scandal [2][3]. Community Impact (0/2): The 2020 destruction of the 46,000-year-old Juukan Gorge Aboriginal sacred sites remains a defining ESG failure, with Human Rights Law Centre calling it 'a total disconnect between Rio Tinto's rhetoric and the reality experienced by Indigenous communities' [3]. Additional controversies include Bougainville mine waste contamination and Mongolia Oyu Tolgoi herder displacement [3]. Employee Retention (1/2): Ongoing culture transformation under CEO Stausholm after the Juukan Gorge scandal forced complete executive turnover. Progress is being made but the company acknowledges 'there is still a long way to go' [2]. Insider Buying (0/2): No evidence of meaningful net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Rio Tinto's financial profile reflects a world-class mining operation. D/E of 35.4% is well below the 70% target, with $23.7B total debt against $9.4B cash [1][4]. ROE of 16.4% exceeds the 15% target. Revenue of $57.6B grew 14.6% YoY but 5-year CAGR is modest at approximately 2% due to commodity cycle volatility [1]. Forward P/E of 11.0x offers significant value. Profit margin of 17.3% is solid for a capital-intensive miner. Dividend yield of 4.24% with a 61.3% payout ratio and 9-year track record of dividends at the top end of the payout range [1]. Operating cash flow of $16.8B and FCF of $3.5B demonstrate strong cash generation. Dividend growth has been inconsistent due to commodity price linkage [1]. Liquidity floor easily cleared: 4.0M avg vol x $94.81 = $377M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Rio Tinto shows flashes of infinite game thinking — the coal divestiture, lithium pivot, and culture transformation after Juukan Gorge demonstrate some strategic courage and existential flexibility. However, the Juukan Gorge destruction of 46,000-year-old sacred sites revealed a fundamentally finite mindset that prioritized short-term iron ore extraction over enduring stakeholder relationships. The complete executive turnover that followed shows the organization's trust foundation was fragile. Sinek would see a company that talks infinite but has acted finite when tested.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(1/3 points). Rio Tinto articulates a purpose around providing materials essential for human progress and the energy transition, but this is interchangeable with any major miner [2]. The Juukan Gorge destruction demonstrated that when the cause conflicts with profit, profit wins — a definitive marker of finite thinking. The post-scandal culture transformation is genuine but reactive, not evidence of an enduring Just Cause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(0/2 points). The Juukan Gorge scandal forced the resignation of CEO Jean-Sebastien Jacques and other senior executives, revealing a culture where employees either couldn't or wouldn't challenge destructive decisions [3]. The company acknowledged significant cultural problems and launched a transformation under CEO Stausholm, but admits 'there is still a long way to go' [2]. The planned CEO succession adds further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Rio Tinto's technology strategy explicitly acknowledges competitors' capabilities and uses competitive pressure to improve. The Founders Factory accelerator partnership and open AI ecosystem architecture show willingness to learn from technology rivals outside mining [2]. Management commentary focuses on improving operational efficiency and cost structures rather than destroying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Rio Tinto divested its entire coal portfolio — walking away from profitable assets — to align with the energy transition, and is building a lithium business through the Arcadium acquisition [1]. These represent meaningful strategic adaptation driven by long-term market shifts. However, iron ore remains overwhelmingly dominant (65%+ of EBITDA), and the core business model of extract-and-sell commodities has not fundamentally changed in 150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CEO Stausholm's decision to launch a comprehensive culture transformation after Juukan Gorge, rather than treating it as a PR problem, showed courage [3]. The coal divestiture sacrificed near-term earnings for long-term positioning. However, both decisions were arguably forced by external pressure (public outrage, ESG mandates) rather than proactive leadership conviction. The $1B+ annual lithium capex during uncertain markets does demonstrate capital allocation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Rio Tinto is the world's largest iron ore producer trading at an attractive 11.0x forward P/E with a 4.24% dividend yield and a clean balance sheet (D/E 35.4%) [1][4]. Revenue of $57.6B grew 14.6% YoY with underlying EBITDA of $23.0B and operating cash flow of $16.8B, reflecting world-class mining operations with a cost structure 18% more efficient than peers due to AI-driven automation [1][2]. The Simandou project (nearly two-thirds complete, targeting 60 Mtpa) and lithium buildout (200,000 tpa by 2028) provide multi-year growth visibility. Iron ore unit cost guidance of $23.50-25/t and $650M annualized productivity improvements demonstrate operational discipline [1]. AI infrastructure buildout is a structural demand tailwind for Rio Tinto's copper, aluminium, and lithium portfolios.</w:t>
      </w:r>
    </w:p>
    <w:p>
      <w:pPr>
        <w:spacing w:after="120"/>
      </w:pPr>
      <w:r>
        <w:rPr>
          <w:rFonts w:ascii="Calibri" w:hAnsi="Calibri"/>
          <w:b w:val="0"/>
          <w:color w:val="3A4A28"/>
          <w:sz w:val="20"/>
        </w:rPr>
        <w:t>The bear case centers on commodity price cyclicality, ESG risk, and execution complexity. Iron ore prices are driven by Chinese steel demand, which faces structural headwinds from property sector weakness and the shift to steel recycling [1]. The Juukan Gorge scandal permanently damaged Rio Tinto's social license and exposed governance failures that may not be fully resolved despite the culture transformation — additional Indigenous heritage controversies would be catastrophic [3]. Simandou faces execution risk in Guinea (political instability, infrastructure complexity) and could significantly exceed its multi-billion-dollar budget. The lithium strategy depends on EV adoption rates and lithium pricing, both of which are volatile [1]. Dividend sustainability depends on commodity prices — the 61.3% payout ratio leaves limited buffer if iron ore prices decline materially. CEO succession creates leadership uncertainty during a critical strategic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Simandou iron ore project ramping toward 60 Mtpa production, with first shipment received December 2025 and project nearly two-thirds complete [1]</w:t>
      </w:r>
    </w:p>
    <w:p>
      <w:pPr>
        <w:spacing w:before="40" w:after="40"/>
        <w:ind w:left="283"/>
      </w:pPr>
      <w:r>
        <w:rPr>
          <w:rFonts w:ascii="Calibri" w:hAnsi="Calibri"/>
          <w:b/>
          <w:color w:val="4A6B25"/>
          <w:sz w:val="20"/>
        </w:rPr>
        <w:t xml:space="preserve">2. </w:t>
      </w:r>
      <w:r>
        <w:rPr>
          <w:rFonts w:ascii="Calibri" w:hAnsi="Calibri"/>
          <w:b w:val="0"/>
          <w:color w:val="3A4A28"/>
          <w:sz w:val="20"/>
        </w:rPr>
        <w:t>Lithium business buildout targeting 200,000 tpa by 2028, positioning Rio Tinto to benefit from structural EV and energy storage demand growth [1]</w:t>
      </w:r>
    </w:p>
    <w:p>
      <w:pPr>
        <w:spacing w:before="40" w:after="40"/>
        <w:ind w:left="283"/>
      </w:pPr>
      <w:r>
        <w:rPr>
          <w:rFonts w:ascii="Calibri" w:hAnsi="Calibri"/>
          <w:b/>
          <w:color w:val="4A6B25"/>
          <w:sz w:val="20"/>
        </w:rPr>
        <w:t xml:space="preserve">3. </w:t>
      </w:r>
      <w:r>
        <w:rPr>
          <w:rFonts w:ascii="Calibri" w:hAnsi="Calibri"/>
          <w:b w:val="0"/>
          <w:color w:val="3A4A28"/>
          <w:sz w:val="20"/>
        </w:rPr>
        <w:t>AI infrastructure demand driving increased consumption of copper, aluminium, and lithium for data center construction, power transmission, and battery storage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Iron ore price dependency on Chinese steel demand — property sector weakness and shift to recycled steel could structurally reduce volumes and pricing [1]</w:t>
      </w:r>
    </w:p>
    <w:p>
      <w:pPr>
        <w:spacing w:before="40" w:after="40"/>
        <w:ind w:left="283"/>
      </w:pPr>
      <w:r>
        <w:rPr>
          <w:rFonts w:ascii="Calibri" w:hAnsi="Calibri"/>
          <w:b/>
          <w:color w:val="4A6B25"/>
          <w:sz w:val="20"/>
        </w:rPr>
        <w:t xml:space="preserve">2. </w:t>
      </w:r>
      <w:r>
        <w:rPr>
          <w:rFonts w:ascii="Calibri" w:hAnsi="Calibri"/>
          <w:b w:val="0"/>
          <w:color w:val="3A4A28"/>
          <w:sz w:val="20"/>
        </w:rPr>
        <w:t>Indigenous heritage and social license risk — any repeat of Juukan Gorge-type incidents would cause severe reputational and operational damage, with ongoing controversies in Bougainville and Mongolia [3]</w:t>
      </w:r>
    </w:p>
    <w:p>
      <w:pPr>
        <w:spacing w:before="40" w:after="40"/>
        <w:ind w:left="283"/>
      </w:pPr>
      <w:r>
        <w:rPr>
          <w:rFonts w:ascii="Calibri" w:hAnsi="Calibri"/>
          <w:b/>
          <w:color w:val="4A6B25"/>
          <w:sz w:val="20"/>
        </w:rPr>
        <w:t xml:space="preserve">3. </w:t>
      </w:r>
      <w:r>
        <w:rPr>
          <w:rFonts w:ascii="Calibri" w:hAnsi="Calibri"/>
          <w:b w:val="0"/>
          <w:color w:val="3A4A28"/>
          <w:sz w:val="20"/>
        </w:rPr>
        <w:t>Simandou execution risk in Guinea — political instability, infrastructure complexity, and multi-billion-dollar capital requirements create potential for delays and cost overruns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Rio Tinto's core business — extracting iron ore, copper, aluminium, and lithium from physical mines — is structurally immune to AI disruption [2]. No AI model can replace a Pilbara mine or an aluminium smelter. Moreover, AI infrastructure (data centers, chips, power) dramatically increases demand for Rio Tinto's products — copper for wiring, aluminium for cooling, lithium for batteries, and iron ore for construction [2]. Seeking Alpha analysis explicitly positions Rio Tinto as 'primed to benefit from the growth in AI infrastructure' [2]. The company's cost structure is already 18% more efficient than peers due to AI-driven automation. AI Opportunity (1/1): Rio Tinto generates measurable value from AI — autonomous mining operations, predictive maintenance reducing downtime, AI-powered exploration identifying drill targets 100x faster, and the A$14.4M Founders Factory accelerator producing commercial mining technology innovations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Rio Tinto 2024 Annual Results and 2026 Guidance — $57.6B revenue, $10.9B underlying earnings, Simandou and lithium updates, February 2026</w:t>
      </w:r>
    </w:p>
    <w:p>
      <w:pPr>
        <w:spacing w:before="20" w:after="20"/>
        <w:ind w:left="170"/>
      </w:pPr>
      <w:r>
        <w:rPr>
          <w:rFonts w:ascii="Calibri" w:hAnsi="Calibri"/>
          <w:b/>
          <w:color w:val="4A6B25"/>
          <w:sz w:val="15"/>
        </w:rPr>
        <w:t xml:space="preserve">2. </w:t>
      </w:r>
      <w:r>
        <w:rPr>
          <w:rFonts w:ascii="Calibri" w:hAnsi="Calibri"/>
          <w:b w:val="0"/>
          <w:color w:val="3A4A28"/>
          <w:sz w:val="17"/>
        </w:rPr>
        <w:t>Klover.ai / AIExpert / ChiefAIOfficer — Rio Tinto AI strategy analysis, autonomous mining, Founders Factory partnership, 2025-2026</w:t>
      </w:r>
    </w:p>
    <w:p>
      <w:pPr>
        <w:spacing w:before="20" w:after="20"/>
        <w:ind w:left="170"/>
      </w:pPr>
      <w:r>
        <w:rPr>
          <w:rFonts w:ascii="Calibri" w:hAnsi="Calibri"/>
          <w:b/>
          <w:color w:val="4A6B25"/>
          <w:sz w:val="15"/>
        </w:rPr>
        <w:t xml:space="preserve">3. </w:t>
      </w:r>
      <w:r>
        <w:rPr>
          <w:rFonts w:ascii="Calibri" w:hAnsi="Calibri"/>
          <w:b w:val="0"/>
          <w:color w:val="3A4A28"/>
          <w:sz w:val="17"/>
        </w:rPr>
        <w:t>ESG Today / Morningstar / Human Rights Law Centre — Juukan Gorge scandal, ESG controversies, Indigenous rights failures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RIO (Rio Tinto),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