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RITM</w:t>
      </w:r>
      <w:r>
        <w:rPr>
          <w:rFonts w:ascii="Calibri" w:hAnsi="Calibri"/>
          <w:b/>
          <w:color w:val="1A2010"/>
          <w:sz w:val="40"/>
        </w:rPr>
        <w:t xml:space="preserve">  Rithm Capital Corp.</w:t>
      </w:r>
    </w:p>
    <w:p>
      <w:pPr>
        <w:spacing w:after="120"/>
      </w:pPr>
      <w:r>
        <w:rPr>
          <w:rFonts w:ascii="Calibri" w:hAnsi="Calibri"/>
          <w:b/>
          <w:color w:val="6E8450"/>
          <w:sz w:val="18"/>
        </w:rPr>
        <w:t>DIVIDEND SLEEVE · 2026-03-24 · Inspire: 42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Mortgage Finance · NYSE · United States</w:t>
      </w:r>
    </w:p>
    <w:p>
      <w:pPr>
        <w:spacing w:after="80"/>
      </w:pPr>
      <w:r>
        <w:rPr>
          <w:rFonts w:ascii="Calibri" w:hAnsi="Calibri"/>
          <w:b w:val="0"/>
          <w:color w:val="3A4A28"/>
          <w:sz w:val="20"/>
        </w:rPr>
        <w:t>Rithm Capital Corp. is a diversified global alternative asset manager transitioning from a mortgage REIT structure, operating through NewRez (mortgage origination and servicing), Sculptor Capital Management ($38B AUM), and a growing real estate equity and private credit platform. The company crossed $100 billion in investable assets in late 2025 following acquisitions of Crestline Management and Paramount Group's office portfolio.</w:t>
      </w:r>
    </w:p>
    <w:p>
      <w:r>
        <w:rPr>
          <w:rFonts w:ascii="Calibri" w:hAnsi="Calibri"/>
          <w:b/>
          <w:color w:val="6E8450"/>
          <w:sz w:val="18"/>
        </w:rPr>
        <w:t>7,000 Employees · https://www.rithmcap.com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Rithm has executed a meaningful business model pivot — from mortgage REIT to alternative asset manager — with AUM growing from $2.7B to $55B+ over 12 years, earning 2 points on Innovation Track Record[1]. NewRez's deployment of HomeVision's MIRA AI technology doubled collateral underwriting efficiency and is expanding into income, asset, and credit underwriting, earning 1 point for AI deployment with measurable results[2]. The company is not a category leader in alternative asset management (Blackstone, Apollo dominate), scoring 1 point on market share. Product pipeline visibility is moderate with PCF deal wins near $13B guiding network build, earning 1 point. R&amp;D intensity is below financial services norms for a traditional manager.</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Rithm's stated mission focuses on asset management excellence and delivering returns to shareholders — a clear but not distinctive articulation (2 points, mission floor). Community charitable programs are not prominently disclosed, scoring 0. Management tenure averages only 1.7 years, indicating a relatively new team, with no evidence of above-average retention — scoring 0. CEO Michael Nierenberg has held his role for multiple years and has been buying into the turnaround thesis, but specific insider buying dollar amounts are limited in public disclosures — scoring 2 for some insider conviction expressed through strategic commitments and acquisitions[1].</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RITM trades at $9.03 with an 11.07% dividend yield[1]. D/E is elevated given financial services leverage, ROE is strong at ~19% EAD basis. Revenue grew ~2% YoY full-year 2025 to $3.78B with TTM $4.6B. Dividend yield of 11.07% is well above 2% threshold and has been paid consistently. The liquidity floor is met: $9.03 × ~555M shares volume indicates well above $1M daily. Forward P/E at ~8.7 is very attractive. The high dividend yield with mortgage servicing business model results in meaningful payout but the payout ratio calculation is complex for REITs. Infrastructure score reflects strong yield metrics offset by elevated leverage characteristic of financial intermediaries.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Rithm is executing a genuine long-term business model transformation from mortgage REIT to diversified asset manager — a multi-year, multi-acquisition strategy that sacrifices near-term GAAP earnings for structural repositioning. However, the company is early in this journey with a relatively new management team and lacks decades of validated Just Cause execution. The CEO's stated vision of trading at asset manager multiples requires a C-Corp conversion and sustained AUM growth that has not yet been proven at scale.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Rithm's purpose — building a global diversified alternative asset manager serving institutional and retail investors — is genuine and partially lived out through the Sculptor, Crestline, and Paramount acquisitions[1]. However, the cause is not yet validated by multi-decade consistency, and the company still trades at REIT-like multiples despite the transformation narrative. Scores 2 points: genuine cause, partially lived.</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Genesis Capital subsidiary hire described culture as 'execution-oriented, collaborative, and characterized by strong leadership'[2]. However, average management tenure of 1.7 years at the parent level suggests organizational transition and turnover. Scores 1 point: stable but not exceptional.</w:t>
      </w:r>
    </w:p>
    <w:p>
      <w:pPr>
        <w:spacing w:before="200" w:after="40"/>
      </w:pPr>
      <w:r>
        <w:rPr>
          <w:rFonts w:ascii="Calibri" w:hAnsi="Calibri"/>
          <w:b/>
          <w:color w:val="1A2010"/>
          <w:sz w:val="22"/>
        </w:rPr>
        <w:t>Worthy Rivals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Management frames competition against Blackstone, Apollo, and Ares in aspirational terms — targeting asset manager trading multiples as the benchmark — suggesting competitive awareness. The C-Corp conversion goal reflects learning from rivals' superior valuation. Scores 1 point.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transformation from a pure mortgage REIT (New Residential Investment Corp.) to Rithm Capital Alternative Asset Management represents genuine existential flexibility — the company actively abandoned the REIT identity in pursuit of the asset management model. Acquisitions of Sculptor, Crestline, and Paramount all represent strategic adjacencies that expand the platform. Scores 1 point for meaningful evolution.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CEO Nierenberg chose to pursue the C-Corp conversion and asset management repositioning despite GAAP earnings volatility from MSR fair value swings discouraging this path. The $1.6B Paramount Group acquisition and Crestline deal in late 2025 represent courageous capital deployment against market skepticism[1]. Scores 1 point for at least one meaningful example.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Rithm Capital is executing a credible transformation from a mortgage REIT into a diversified global alternative asset manager, having crossed $100B in investable assets in late 2025 through strategic acquisitions of Sculptor ($38B AUM), Crestline ($18B AUM), and Paramount Group's Class A office portfolio[1]. With non-GAAP EAD of $2.35/share (19% return on equity) and an 11.07% dividend yield at just 0.74x book value, RITM offers substantial value to investors willing to look past GAAP earnings distorted by MSR fair value swings. Analyst consensus price target of $14.50 (10 buy ratings, zero sells) implies 60%+ upside from current levels[1].</w:t>
      </w:r>
    </w:p>
    <w:p>
      <w:pPr>
        <w:spacing w:after="120"/>
      </w:pPr>
      <w:r>
        <w:rPr>
          <w:rFonts w:ascii="Calibri" w:hAnsi="Calibri"/>
          <w:b w:val="0"/>
          <w:color w:val="3A4A28"/>
          <w:sz w:val="20"/>
        </w:rPr>
        <w:t>The key bear case centers on GAAP earnings volatility — a $421M MSR fair value swing crushed GAAP net income in Q4 2025 — which keeps institutional investors skeptical and maintains the REIT discount[1]. The C-Corp conversion timeline is uncertain, and mortgage servicing businesses carry significant interest rate sensitivity. AUM of $55B remains far below the Blackstone/Apollo scale needed to command premium multiples. Management team average tenure of 1.7 years raises execution continuity risk as the company navigates its most ambitious strategic period.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C-Corp conversion execution that re-rates RITM from REIT multiples (~8x) to asset manager multiples (~15-20x), potentially doubling the stock price</w:t>
      </w:r>
    </w:p>
    <w:p>
      <w:pPr>
        <w:spacing w:before="40" w:after="40"/>
        <w:ind w:left="283"/>
      </w:pPr>
      <w:r>
        <w:rPr>
          <w:rFonts w:ascii="Calibri" w:hAnsi="Calibri"/>
          <w:b/>
          <w:color w:val="4A6B25"/>
          <w:sz w:val="20"/>
        </w:rPr>
        <w:t xml:space="preserve">2. </w:t>
      </w:r>
      <w:r>
        <w:rPr>
          <w:rFonts w:ascii="Calibri" w:hAnsi="Calibri"/>
          <w:b w:val="0"/>
          <w:color w:val="3A4A28"/>
          <w:sz w:val="20"/>
        </w:rPr>
        <w:t>Sculptor, Crestline, and Paramount integrations driving fee revenue growth and AUM scaling toward the $150B+ target that would make RITM competitive with mid-tier alternative managers</w:t>
      </w:r>
    </w:p>
    <w:p>
      <w:pPr>
        <w:spacing w:before="40" w:after="40"/>
        <w:ind w:left="283"/>
      </w:pPr>
      <w:r>
        <w:rPr>
          <w:rFonts w:ascii="Calibri" w:hAnsi="Calibri"/>
          <w:b/>
          <w:color w:val="4A6B25"/>
          <w:sz w:val="20"/>
        </w:rPr>
        <w:t xml:space="preserve">3. </w:t>
      </w:r>
      <w:r>
        <w:rPr>
          <w:rFonts w:ascii="Calibri" w:hAnsi="Calibri"/>
          <w:b w:val="0"/>
          <w:color w:val="3A4A28"/>
          <w:sz w:val="20"/>
        </w:rPr>
        <w:t>Interest rate stabilization reducing MSR fair value volatility and improving GAAP earnings visibility, potentially attracting institutional buyers currently deterred by accounting noise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Mortgage servicing rights fair value volatility — each 25bps interest rate move can create $200-400M GAAP swings, masking underlying operational performance and deterring institutional capital</w:t>
      </w:r>
    </w:p>
    <w:p>
      <w:pPr>
        <w:spacing w:before="40" w:after="40"/>
        <w:ind w:left="283"/>
      </w:pPr>
      <w:r>
        <w:rPr>
          <w:rFonts w:ascii="Calibri" w:hAnsi="Calibri"/>
          <w:b/>
          <w:color w:val="4A6B25"/>
          <w:sz w:val="20"/>
        </w:rPr>
        <w:t xml:space="preserve">2. </w:t>
      </w:r>
      <w:r>
        <w:rPr>
          <w:rFonts w:ascii="Calibri" w:hAnsi="Calibri"/>
          <w:b w:val="0"/>
          <w:color w:val="3A4A28"/>
          <w:sz w:val="20"/>
        </w:rPr>
        <w:t>Integration complexity risk across three major 2025 acquisitions (Sculptor, Crestline, Paramount) with a management team averaging 1.7 years tenure and no track record managing at $100B+ scale</w:t>
      </w:r>
    </w:p>
    <w:p>
      <w:pPr>
        <w:spacing w:before="40" w:after="40"/>
        <w:ind w:left="283"/>
      </w:pPr>
      <w:r>
        <w:rPr>
          <w:rFonts w:ascii="Calibri" w:hAnsi="Calibri"/>
          <w:b/>
          <w:color w:val="4A6B25"/>
          <w:sz w:val="20"/>
        </w:rPr>
        <w:t xml:space="preserve">3. </w:t>
      </w:r>
      <w:r>
        <w:rPr>
          <w:rFonts w:ascii="Calibri" w:hAnsi="Calibri"/>
          <w:b w:val="0"/>
          <w:color w:val="3A4A28"/>
          <w:sz w:val="20"/>
        </w:rPr>
        <w:t>C-Corp conversion delay or rejection that keeps RITM trapped at REIT valuation multiples indefinitely, preventing the re-rating thesis from materializing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Rithm's core businesses — mortgage servicing rights, private credit, real estate equity — are deeply relationship-driven and capital-intensive, providing meaningful protection against AI displacement (7 points AI Risk Protection)[2]. The physical underwriting, legal, and regulatory nature of mortgage finance resists full AI substitution. However, AI does threaten mortgage processing efficiency and loan origination workflows, already being adopted broadly across the industry. The NewRez MIRA AI deployment demonstrates proactive AI adoption as an enabler rather than a threat, earning the tiebreaker point — but given competitor deployment of similar tools, the moat is limited.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42</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Systemic Risk Mitigation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247 Wall St., 'RITM Stock Near 52-Week Low Despite $100 Billion in Assets and a Blowout Quarter', March 2026</w:t>
      </w:r>
    </w:p>
    <w:p>
      <w:pPr>
        <w:spacing w:before="20" w:after="20"/>
        <w:ind w:left="170"/>
      </w:pPr>
      <w:r>
        <w:rPr>
          <w:rFonts w:ascii="Calibri" w:hAnsi="Calibri"/>
          <w:b/>
          <w:color w:val="4A6B25"/>
          <w:sz w:val="15"/>
        </w:rPr>
        <w:t xml:space="preserve">2. </w:t>
      </w:r>
      <w:r>
        <w:rPr>
          <w:rFonts w:ascii="Calibri" w:hAnsi="Calibri"/>
          <w:b w:val="0"/>
          <w:color w:val="3A4A28"/>
          <w:sz w:val="17"/>
        </w:rPr>
        <w:t>GuruFocus, 'RITM Embraces AI to Revolutionize Mortgage Underwriting', 2025</w:t>
      </w:r>
    </w:p>
    <w:p>
      <w:pPr>
        <w:spacing w:before="20" w:after="20"/>
        <w:ind w:left="170"/>
      </w:pPr>
      <w:r>
        <w:rPr>
          <w:rFonts w:ascii="Calibri" w:hAnsi="Calibri"/>
          <w:b/>
          <w:color w:val="4A6B25"/>
          <w:sz w:val="15"/>
        </w:rPr>
        <w:t xml:space="preserve">3. </w:t>
      </w:r>
      <w:r>
        <w:rPr>
          <w:rFonts w:ascii="Calibri" w:hAnsi="Calibri"/>
          <w:b w:val="0"/>
          <w:color w:val="3A4A28"/>
          <w:sz w:val="17"/>
        </w:rPr>
        <w:t>Commercial Observer, 'Rithm Capital CEO Michael Nierenberg On Using M&amp;A to Get to $100B in Assets', December 2025</w:t>
      </w:r>
    </w:p>
    <w:p>
      <w:pPr>
        <w:spacing w:before="20" w:after="20"/>
        <w:ind w:left="170"/>
      </w:pPr>
      <w:r>
        <w:rPr>
          <w:rFonts w:ascii="Calibri" w:hAnsi="Calibri"/>
          <w:b/>
          <w:color w:val="4A6B25"/>
          <w:sz w:val="15"/>
        </w:rPr>
        <w:t xml:space="preserve">4. </w:t>
      </w:r>
      <w:r>
        <w:rPr>
          <w:rFonts w:ascii="Calibri" w:hAnsi="Calibri"/>
          <w:b w:val="0"/>
          <w:color w:val="3A4A28"/>
          <w:sz w:val="17"/>
        </w:rPr>
        <w:t>Simply Wall St, 'Rithm Capital Valuation as Q4 Earnings Beat Highlights Business Model Shift', 2026</w:t>
      </w:r>
    </w:p>
    <w:p>
      <w:pPr>
        <w:spacing w:before="20" w:after="20"/>
        <w:ind w:left="170"/>
      </w:pPr>
      <w:r>
        <w:rPr>
          <w:rFonts w:ascii="Calibri" w:hAnsi="Calibri"/>
          <w:b/>
          <w:color w:val="4A6B25"/>
          <w:sz w:val="15"/>
        </w:rPr>
        <w:t xml:space="preserve">5. </w:t>
      </w:r>
      <w:r>
        <w:rPr>
          <w:rFonts w:ascii="Calibri" w:hAnsi="Calibri"/>
          <w:b w:val="0"/>
          <w:color w:val="3A4A28"/>
          <w:sz w:val="17"/>
        </w:rPr>
        <w:t>S&amp;P Global Ratings, 'Rithm Capital Corp. Outlook Revised To Positive',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