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RJF</w:t>
      </w:r>
      <w:r>
        <w:rPr>
          <w:rFonts w:ascii="Calibri" w:hAnsi="Calibri"/>
          <w:b/>
          <w:color w:val="1A2010"/>
          <w:sz w:val="40"/>
        </w:rPr>
        <w:t xml:space="preserve">  Raymond James Financial, Inc.</w:t>
      </w:r>
    </w:p>
    <w:p>
      <w:pPr>
        <w:spacing w:after="120"/>
      </w:pPr>
      <w:r>
        <w:rPr>
          <w:rFonts w:ascii="Calibri" w:hAnsi="Calibri"/>
          <w:b/>
          <w:color w:val="6E8450"/>
          <w:sz w:val="18"/>
        </w:rPr>
        <w:t>GROWTH SLEEVE · 2026-04-28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Raymond James Financial is a diversified financial services holding company providing wealth management, capital markets, asset management, and banking services. The firm operates through Private Client Group, Capital Markets, Asset Management, and Bank segments, serving individual and institutional clients with approximately $1.76 trillion in client assets under administration.</w:t>
      </w:r>
    </w:p>
    <w:p>
      <w:r>
        <w:rPr>
          <w:rFonts w:ascii="Calibri" w:hAnsi="Calibri"/>
          <w:b/>
          <w:color w:val="6E8450"/>
          <w:sz w:val="18"/>
        </w:rPr>
        <w:t>19,500 Employees · https://www.raymondjames.com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Raymond James has steadily grown through acquisitions and organic expansion over the past five years, including the $1.2B TriState Capital acquisition in 2022, expanding its bank lending capabilities. However, these represent incremental extensions of its existing brokerage and banking model rather than transformative pivots [1]. AI Deployment (2/2): The firm appointed Stuart Feld as Chief AI Officer in February 2025 and David Solganik as head of AI strategy, deploying AI-enhanced tools including an AI search function and note-taking applications across its advisor platform, with CEO Paul Shoukry committing a meaningful portion of the $975 million annual technology budget to AI initiatives [2]. Market Share (1/2): Raymond James is one of the top independent broker-dealers in the U.S. and has been gaining advisor headcount and client assets — domestic net new assets of $23.0B in Q2 FY2026 reflect ongoing market share gains in wealth management [1]. Product Pipeline (1/2): AI-enhanced advisor tools and expanded banking capabilities are in development, though specific next-generation product launches with revenue timelines have not been disclosed beyond the ongoing AI integration roadmap [2]. R&amp;D Intensity (1/1): The $975 million annual technology budget represents approximately 6.6% of revenue, above average for the wealth management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Raymond James' core philosophy centers on putting clients first and a people-first culture dating back to founder Bob James' principles, but the formal mission — while genuine — is a fairly standard articulation of client-centric financial services without a transformative vision of a future state that transcends the industry [2]. Community Impact (1/2): Raymond James has maintained a corporate responsibility program with community investment initiatives and $1.8B+ in green and social bond senior management since 2014, along with sustainability reporting, though the scale is moderate relative to its size [3]. Employee Retention (2/2): The firm is widely recognized for its advisor-centric culture — the Private Client Group model emphasizes advisor autonomy and support, which drives strong retention with advisors consistently citing the culture as a key differentiator. CEO Paul Shoukry rose through the ranks over a 20+ year career at the firm, reflecting internal leadership development [2]. Insider Buying (1/2): Insider transactions are roughly balanced with no notable net insider buying observed in the past 12 months, though executive compensation is heavily equity-based, aligning leadership interests with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Raymond James scores exceptionally on the mechanical Infrastructure calculation. D/E of 46.3% is well below the 70% target, reflecting conservative leverage for a financial services firm [4]. ROE of 17.1% exceeds the 15% threshold. Revenue growth of 13.4% YoY and ~8.5% 5-year CAGR show consistent expansion, with record Q2 FY2026 net revenues of $3.86B up 13% year-over-year [1]. Forward P/E of 11.5x is deeply undervalued relative to the 20x target. Profit margin of 14.6% is moderate for financial services. Forward PEG of 0.97 is below 1.0, indicating strong growth at a reasonable price. Liquidity is ample at $232M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Raymond James demonstrates strong infinite game characteristics rooted in a multi-decade people-first culture established by founder Bob James. The firm's emphasis on advisor autonomy, long-term client relationships, and conservative risk management reflects a company playing to endure rather than win any single quarter. The orderly CEO succession from Paul Reilly to Paul Shoukry — both long-tenured insiders — reinforces cultural continuity.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Raymond James has a genuine cause rooted in its founding culture — putting clients and advisors first rather than maximizing short-term revenue. This people-first philosophy has been lived out for over 60 years, surviving multiple leadership transitions and market crises while guiding decisions like maintaining advisor independence when competitors consolidated. However, the cause is more cultural identity than a bold vision of a future state, preventing it from reaching the highest tier. Score: 2 weighted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Raymond James is widely recognized as one of the highest-trust organizations in financial services. The Private Client Group model explicitly empowers advisors with autonomy and support, and advisors consistently cite the firm's culture as a primary reason they join and stay. CEO Paul Shoukry's 20+ year tenure rising through the ranks exemplifies internal leadership development, and the firm regularly appears on Fortune's Best Companies to Work For list [2]. The culture is a genuine competitive advantage in advisor recruitment. Score: 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Raymond James competes against Morgan Stanley, UBS, Stifel, and LPL Financial without framing competition in terms of market dominance. Management consistently focuses on improving advisor experience and client outcomes rather than destroying competitors, and the firm's recruitment messaging emphasizes its own cultural strengths rather than competitors' weaknesses [2].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Raymond James has evolved from a small regional brokerage into a diversified financial services firm with $1.76 trillion in client assets, entering banking, capital markets, and asset management over decades. The TriState Capital acquisition (2022) expanded lending capabilities meaningfully. The firm is now pivoting toward AI-enhanced advisory services with a dedicated Chief AI Officer [2]. These represent steady evolution rather than transformative reinvention — the core identity as a people-first wealth management firm has remained constant.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Raymond James has demonstrated some courageous decisions — maintaining its independent advisor model and conservative risk culture during the 2008 financial crisis when peers were failing, and investing $975M annually in technology including AI while emphasizing that technology should augment rather than replace advisors [2]. The firm walked away from the trend toward proprietary products that conflicted with its client-first orientation. However, these are principled stands within the existing model rather than costly transformative bets.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Raymond James Financial is firing on all cylinders with record Q2 FY2026 net revenues of $3.86B (up 13% YoY), record client assets under administration of $1.76 trillion, and domestic net new assets of $23.0B demonstrating strong organic growth [1]. At 11.5x forward P/E with a PEG of 0.97, the stock is deeply undervalued relative to its 13%+ revenue growth and 15% earnings growth trajectory, with analysts projecting FY2026 adjusted EPS of $11.95 — up 12% from FY2025 [1]. The firm's conservative balance sheet (46% D/E), 17% ROE, and $975M annual technology investment position it to capture share in wealth management through AI-enhanced advisor tools while maintaining the people-first culture that drives advisor retention [2]. The Bank segment's record net loans of $54.8B (up 14% YoY) with a 2.81% net interest margin provides diversified earnings growth [1].</w:t>
      </w:r>
    </w:p>
    <w:p>
      <w:pPr>
        <w:spacing w:after="120"/>
      </w:pPr>
      <w:r>
        <w:rPr>
          <w:rFonts w:ascii="Calibri" w:hAnsi="Calibri"/>
          <w:b w:val="0"/>
          <w:color w:val="3A4A28"/>
          <w:sz w:val="20"/>
        </w:rPr>
        <w:t>The primary risk is that Raymond James' growth depends heavily on equity market performance — a sustained bear market would compress client asset values, reduce transaction revenue, and slow net new asset growth. Profit margin of 14.6% is below the 20% target for financial services, reflecting the firm's high-touch service model and $975M technology spend [4]. The capital markets segment is cyclical and dependent on M&amp;A and IPO activity, which could slow if economic conditions deteriorate. Interest rate sensitivity cuts both ways — while the Bank segment benefits from higher rates, falling rates would compress net interest margins from the current 2.81% [1]. The dividend yield of 1.4% is modest, and insider ownership signals are neutral. Competition from both traditional wirehouses and low-cost digital platforms (Schwab, Fidelity) creates ongoing pressure on fee rates and advisor compensation, requiring continuous investment to maintain the firm's cultural and technological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client asset growth with $23.0B in domestic net new assets in Q2 FY2026 and $1.76T in client assets under administration, reflecting strong advisor recruiting and organic growth momentum [1]</w:t>
      </w:r>
    </w:p>
    <w:p>
      <w:pPr>
        <w:spacing w:before="40" w:after="40"/>
        <w:ind w:left="283"/>
      </w:pPr>
      <w:r>
        <w:rPr>
          <w:rFonts w:ascii="Calibri" w:hAnsi="Calibri"/>
          <w:b/>
          <w:color w:val="4A6B25"/>
          <w:sz w:val="20"/>
        </w:rPr>
        <w:t xml:space="preserve">2. </w:t>
      </w:r>
      <w:r>
        <w:rPr>
          <w:rFonts w:ascii="Calibri" w:hAnsi="Calibri"/>
          <w:b w:val="0"/>
          <w:color w:val="3A4A28"/>
          <w:sz w:val="20"/>
        </w:rPr>
        <w:t>AI-enhanced advisor platform with Chief AI Officer Stuart Feld and $975M annual tech budget driving operational efficiency and competitive differentiation in wealth management [2]</w:t>
      </w:r>
    </w:p>
    <w:p>
      <w:pPr>
        <w:spacing w:before="40" w:after="40"/>
        <w:ind w:left="283"/>
      </w:pPr>
      <w:r>
        <w:rPr>
          <w:rFonts w:ascii="Calibri" w:hAnsi="Calibri"/>
          <w:b/>
          <w:color w:val="4A6B25"/>
          <w:sz w:val="20"/>
        </w:rPr>
        <w:t xml:space="preserve">3. </w:t>
      </w:r>
      <w:r>
        <w:rPr>
          <w:rFonts w:ascii="Calibri" w:hAnsi="Calibri"/>
          <w:b w:val="0"/>
          <w:color w:val="3A4A28"/>
          <w:sz w:val="20"/>
        </w:rPr>
        <w:t>Bank segment expansion with record net loans of $54.8B (up 14% YoY) and 2.81% net interest margin providing diversified earnings growth beyond traditional brokerage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Equity market dependence — a sustained downturn would compress client asset values, transaction revenues, and advisory fee income, which collectively drive ~75% of Private Client Group revenue [1]</w:t>
      </w:r>
    </w:p>
    <w:p>
      <w:pPr>
        <w:spacing w:before="40" w:after="40"/>
        <w:ind w:left="283"/>
      </w:pPr>
      <w:r>
        <w:rPr>
          <w:rFonts w:ascii="Calibri" w:hAnsi="Calibri"/>
          <w:b/>
          <w:color w:val="4A6B25"/>
          <w:sz w:val="20"/>
        </w:rPr>
        <w:t xml:space="preserve">2. </w:t>
      </w:r>
      <w:r>
        <w:rPr>
          <w:rFonts w:ascii="Calibri" w:hAnsi="Calibri"/>
          <w:b w:val="0"/>
          <w:color w:val="3A4A28"/>
          <w:sz w:val="20"/>
        </w:rPr>
        <w:t>Capital markets cyclicality — investment banking and fixed income trading revenues are dependent on M&amp;A/IPO activity and rate environments that could turn unfavorable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wirehouses and digital platforms on fee rates and advisor compensation, requiring continuous technology and cultural investment to maintain advisor retention edge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Raymond James' core business — wealth management advisory relationships, investment banking, and commercial lending — has meaningful protection from AI disruption. The advisor-client relationship is fundamentally human, regulated by FINRA and SEC compliance requirements, and involves high-trust decisions that clients are unlikely to delegate to AI systems. CEO Shoukry explicitly stated that personal relationships 'trump' any technology or bot, and most advisors are not concerned about displacement [2]. However, portions of the capital markets business (equity research, trade execution) face AI automation pressure, and robo-advisory platforms represent a structural competitive threat to the lower end of the wealth management market. AI Opportunity (1/1): Raymond James generates meaningful AI-related value through its deployed AI search function, note-taking applications, and cybersecurity tools, with a dedicated Chief AI Officer and a portion of the $975M tech budget directed to AI initiatives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Raymond James Financial Q2 FY2026 Earnings Release — Record net revenues of $3.86B, 13% YoY growth, client assets of $1.76T, Bank net loans $54.8B; GlobeNewsWire, April 22, 2026</w:t>
      </w:r>
    </w:p>
    <w:p>
      <w:pPr>
        <w:spacing w:before="20" w:after="20"/>
        <w:ind w:left="170"/>
      </w:pPr>
      <w:r>
        <w:rPr>
          <w:rFonts w:ascii="Calibri" w:hAnsi="Calibri"/>
          <w:b/>
          <w:color w:val="4A6B25"/>
          <w:sz w:val="15"/>
        </w:rPr>
        <w:t xml:space="preserve">2. </w:t>
      </w:r>
      <w:r>
        <w:rPr>
          <w:rFonts w:ascii="Calibri" w:hAnsi="Calibri"/>
          <w:b w:val="0"/>
          <w:color w:val="3A4A28"/>
          <w:sz w:val="17"/>
        </w:rPr>
        <w:t>Raymond James AI Strategy — Chief AI Officer Stuart Feld appointment, $975M tech budget, AI search and note-taking tools, CEO Paul Shoukry commentary; Financial Planning, InvestmentNews, GlobeNewsWire, 2025-2026</w:t>
      </w:r>
    </w:p>
    <w:p>
      <w:pPr>
        <w:spacing w:before="20" w:after="20"/>
        <w:ind w:left="170"/>
      </w:pPr>
      <w:r>
        <w:rPr>
          <w:rFonts w:ascii="Calibri" w:hAnsi="Calibri"/>
          <w:b/>
          <w:color w:val="4A6B25"/>
          <w:sz w:val="15"/>
        </w:rPr>
        <w:t xml:space="preserve">3. </w:t>
      </w:r>
      <w:r>
        <w:rPr>
          <w:rFonts w:ascii="Calibri" w:hAnsi="Calibri"/>
          <w:b w:val="0"/>
          <w:color w:val="3A4A28"/>
          <w:sz w:val="17"/>
        </w:rPr>
        <w:t>Raymond James ESG — Sustainalytics Medium Risk rating (26.7), $1.8B+ green/social bond management, sustainability reporting; Sustainalytics, RaymondJames.com,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RJF (Raymond James Financial),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