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RKLB</w:t>
      </w:r>
      <w:r>
        <w:rPr>
          <w:rFonts w:ascii="Calibri" w:hAnsi="Calibri"/>
          <w:b/>
          <w:color w:val="1A2010"/>
          <w:sz w:val="40"/>
        </w:rPr>
        <w:t xml:space="preserve">  Rocket Lab Corporation</w:t>
      </w:r>
    </w:p>
    <w:p>
      <w:pPr>
        <w:spacing w:after="120"/>
      </w:pPr>
      <w:r>
        <w:rPr>
          <w:rFonts w:ascii="Calibri" w:hAnsi="Calibri"/>
          <w:b/>
          <w:color w:val="6E8450"/>
          <w:sz w:val="18"/>
        </w:rPr>
        <w:t>GROWTH SLEEVE · 2026-05-12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Rocket Lab Corporation provides launch services and space systems solutions. The company operates the Electron small-launch vehicle (the second most frequently launched U.S. rocket), is developing the medium-lift Neutron rocket, and builds spacecraft components including reaction wheels, star trackers, solar panels, and satellite buses through its Space Systems division. Headquartered in Long Beach, California with launch sites in New Zealand and Virginia.</w:t>
      </w:r>
    </w:p>
    <w:p>
      <w:r>
        <w:rPr>
          <w:rFonts w:ascii="Calibri" w:hAnsi="Calibri"/>
          <w:b/>
          <w:color w:val="6E8450"/>
          <w:sz w:val="18"/>
        </w:rPr>
        <w:t>2,300 Employees · https://www.rocketlabusa.com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Rocket Lab has pioneered multiple industry firsts — the first private orbital launch from the Southern Hemisphere, the first 3D-printed and electrically pumped rocket engine (Rutherford), fully carbon-composite rocket structures, and mid-air helicopter recovery of boosters [1][3]. In Q1 2026 alone, the company booked 31 Electron/HASTE missions and 5 Neutron missions, more launch commitments than all of 2025 combined [1]. AI Deployment (1/2): Rocket Lab uses advanced computational modeling and AI-assisted mission planning, though AI products are not a revenue driver — the company is an AI beneficiary rather than an AI provider, as satellite constellations generate data that AI processes [3]. Market Share Leadership (2/2): Electron is the second-most-frequently launched U.S. rocket after SpaceX's Falcon 9, and Rocket Lab holds dominant share in the small-launch market; the Space Systems division is a leading supplier of spacecraft components to major satellite operators [1]. Product Pipeline (1/2): Neutron, the medium-lift reusable rocket, is in active development with bookings secured, but specific first-launch dates have slipped multiple times; the $190M HASTE hypersonic test contract shows defense pipeline strength [1]. R&amp;D Intensity (1/1): R&amp;D spending represents approximately 25% of revenue, far above the aerospace industry average, reflecting heavy investment in Neutron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Peter Beck founded Rocket Lab with the explicit mission to 'remove barriers to space' and make it 'faster, easier, and more affordable to access space' — this purpose has driven every strategic decision from Electron's rapid-launch cadence to the Space Systems vertical integration strategy [2][3]. The mission is specific, has been consistently articulated for over a decade, and differentiates Rocket Lab from competitors focused solely on heavy-lift or government contracts. Community Impact (1/2): Rocket Lab's STEM education initiatives in New Zealand and the U.S. support aerospace talent development, and the company created an entirely new industry in New Zealand — the first orbital-class launch provider in the country — transforming Mahia Peninsula into a spaceport [4]. Employee Retention (2/2): Beck explicitly states he spends significant time preserving Rocket Lab's culture of 'building beautiful things' even through six acquisitions, and the company maintains remarkably low turnover for aerospace — employees frequently cite the mission and engineering culture as reasons for staying [3]. Insider Buying (1/2): Peter Beck retains a significant equity stake demonstrating founder alignment; insider transactions are primarily compensation-related rather than open-market purchases, but Beck's continued operational leadership as CEO, President, and Chairman signals deep personal commitment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Rocket Lab's infrastructure profile reflects a high-growth, pre-profitability company [1]. Debt-to-equity is excellent at just 6.1%, and revenue growth is exceptional at 63.5% YoY with a 5-year CAGR estimated at ~75%. However, the company is not yet profitable — profit margin is -26.9%, ROE is -13.5%, and Forward P/E is essentially infinite at 20,303x (EPS of $0.006 on a $117 stock) [1]. PEG ratio is unavailable. The infrastructure score is dragged down mechanically by the lack of profitability, but the $2.2B backlog (+108% YoY) and Q2 guidance of $225-240M provide strong revenue visibility. Liquidity is solid at ~$2.7B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Rocket Lab under Peter Beck is a textbook infinite game player — the company was founded on a Just Cause to democratize space access, has demonstrated extraordinary courage in building an end-to-end space company despite SpaceX's dominance, and Beck's culture-first leadership philosophy prioritizes long-term capability building over quarterly results [2][3].</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'Remove barriers to space' is a genuine Just Cause in the Sinek sense — it's resilient (endures beyond any single product), inclusive (benefits humanity's access to space), service-oriented (enables others' missions), idealistic (universal space access doesn't yet exist), and big (can never be fully achieved) [2][3]. Beck has held this cause since founding the company over a decade ago, and every strategic decision — from Electron's low-cost rapid launch to Neutron's reusability to Space Systems' component manufacturing — traces directly back to making space more accessible. The cause survived the SPAC transition, multiple launch failures, and competitive pressure from SpaceX.</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Beck explicitly prioritizes culture preservation, stating he spends significant time ensuring Rocket Lab's culture of 'building beautiful things' is maintained even through six acquisitions [3]. The company has relatively low turnover for aerospace, and employees frequently cite the engineering culture and mission as reasons for staying. However, at ~2,300 employees, the company faces growing pains as it scales, and there is limited public data on internal psychological safety metrics.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Beck consistently acknowledges SpaceX's achievements and uses them as motivation to improve rather than as a target to destroy [3]. Rocket Lab explicitly positions itself as complementary to SpaceX (small/medium launch vs. heavy lift) rather than as a direct competitor, and Beck has praised SpaceX's engineering achievements while focusing on Rocket Lab's own strengths in rapid cadence, responsive launch, and vertical integration.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Rocket Lab has significantly evolved from a pure small-launch provider to an end-to-end space company through six acquisitions (reaction wheels, star trackers, solar panels, satellite buses) and the development of Neutron medium-lift rocket [1][3]. This is meaningful strategic evolution driven by the Just Cause rather than desperation. However, it's incremental expansion into adjacent markets rather than a transformative reinvention — the company hasn't yet faced and survived a true existential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Building an orbital rocket company from scratch in New Zealand, taking on SpaceX as a private company, and committing to develop the Neutron medium-lift rocket while Electron was still scaling — all while accepting years of losses — demonstrates extraordinary courage [1][3]. Beck's decision to invest in Neutron development despite margin pressure, and to vertically integrate through acquisitions rather than optimizing short-term profitability, shows a pattern of choosing long-term capability over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Rocket Lab is the clear number-two orbital launch provider globally, with record Q1 2026 revenue of $200.3M (+63.5% YoY), a $2.2B backlog (+108% YoY), and more launch bookings in Q1 2026 than all of 2025 combined [1]. The company's vertical integration strategy — owning the rocket, spacecraft components, and mission operations — creates a competitive moat that pure-launch competitors cannot match, and the HASTE hypersonic testing program ($190M contract) opens a large defense market opportunity.</w:t>
      </w:r>
    </w:p>
    <w:p>
      <w:pPr>
        <w:spacing w:after="120"/>
      </w:pPr>
      <w:r>
        <w:rPr>
          <w:rFonts w:ascii="Calibri" w:hAnsi="Calibri"/>
          <w:b w:val="0"/>
          <w:color w:val="3A4A28"/>
          <w:sz w:val="20"/>
        </w:rPr>
        <w:t>The primary risk is Rocket Lab's pre-profitability status — at -26.9% profit margins and a $68B market cap on ~$800M annualized revenue, the stock prices in years of flawless execution on Neutron development, profitability inflection, and continued launch cadence growth [1]. Neutron delays could significantly impact the thesis, as the medium-lift market is where the real revenue scale exists. Additionally, concentration risk exists with key government and defense customers. However, with minimal debt (6.1% D/E), strong revenue visibility through the backlog, and Peter Beck's proven track record of execution, Rocket Lab remains the best pure-play investment in the commercial space economy outside of SpaceX.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booked 31 Electron/HASTE and 5 Neutron missions — more than all of 2025 — with backlog surging to $2.2B (+108% YoY) [1]</w:t>
      </w:r>
    </w:p>
    <w:p>
      <w:pPr>
        <w:spacing w:before="40" w:after="40"/>
        <w:ind w:left="283"/>
      </w:pPr>
      <w:r>
        <w:rPr>
          <w:rFonts w:ascii="Calibri" w:hAnsi="Calibri"/>
          <w:b/>
          <w:color w:val="4A6B25"/>
          <w:sz w:val="20"/>
        </w:rPr>
        <w:t xml:space="preserve">2. </w:t>
      </w:r>
      <w:r>
        <w:rPr>
          <w:rFonts w:ascii="Calibri" w:hAnsi="Calibri"/>
          <w:b w:val="0"/>
          <w:color w:val="3A4A28"/>
          <w:sz w:val="20"/>
        </w:rPr>
        <w:t>$190M HASTE hypersonic testing contract opens a large defense market beyond traditional satellite launch [1]</w:t>
      </w:r>
    </w:p>
    <w:p>
      <w:pPr>
        <w:spacing w:before="40" w:after="40"/>
        <w:ind w:left="283"/>
      </w:pPr>
      <w:r>
        <w:rPr>
          <w:rFonts w:ascii="Calibri" w:hAnsi="Calibri"/>
          <w:b/>
          <w:color w:val="4A6B25"/>
          <w:sz w:val="20"/>
        </w:rPr>
        <w:t xml:space="preserve">3. </w:t>
      </w:r>
      <w:r>
        <w:rPr>
          <w:rFonts w:ascii="Calibri" w:hAnsi="Calibri"/>
          <w:b w:val="0"/>
          <w:color w:val="3A4A28"/>
          <w:sz w:val="20"/>
        </w:rPr>
        <w:t>Neutron medium-lift rocket development progressing with initial bookings secured, targeting a $10B+ addressable market that Electron cannot access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Pre-profitability with -26.9% margins and effectively infinite P/E means the stock is entirely priced on future execution — any Neutron delays or launch failures would severely impact valuation [1]</w:t>
      </w:r>
    </w:p>
    <w:p>
      <w:pPr>
        <w:spacing w:before="40" w:after="40"/>
        <w:ind w:left="283"/>
      </w:pPr>
      <w:r>
        <w:rPr>
          <w:rFonts w:ascii="Calibri" w:hAnsi="Calibri"/>
          <w:b/>
          <w:color w:val="4A6B25"/>
          <w:sz w:val="20"/>
        </w:rPr>
        <w:t xml:space="preserve">2. </w:t>
      </w:r>
      <w:r>
        <w:rPr>
          <w:rFonts w:ascii="Calibri" w:hAnsi="Calibri"/>
          <w:b w:val="0"/>
          <w:color w:val="3A4A28"/>
          <w:sz w:val="20"/>
        </w:rPr>
        <w:t>$68B market cap on ~$800M annualized revenue implies &gt;80x price-to-sales, leaving minimal margin of safety if growth decelerates [1]</w:t>
      </w:r>
    </w:p>
    <w:p>
      <w:pPr>
        <w:spacing w:before="40" w:after="40"/>
        <w:ind w:left="283"/>
      </w:pPr>
      <w:r>
        <w:rPr>
          <w:rFonts w:ascii="Calibri" w:hAnsi="Calibri"/>
          <w:b/>
          <w:color w:val="4A6B25"/>
          <w:sz w:val="20"/>
        </w:rPr>
        <w:t xml:space="preserve">3. </w:t>
      </w:r>
      <w:r>
        <w:rPr>
          <w:rFonts w:ascii="Calibri" w:hAnsi="Calibri"/>
          <w:b w:val="0"/>
          <w:color w:val="3A4A28"/>
          <w:sz w:val="20"/>
        </w:rPr>
        <w:t>SpaceX's Starship, if successful at scale, could compress pricing across the entire launch market including Electron's small-launch niche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Rocket Lab's business is fundamentally physical — launching rockets, building spacecraft components, and operating satellite systems cannot be replicated or substituted by AI [1][3]. AI actually increases demand for Rocket Lab's services: the explosion of AI-driven data analytics, earth observation, and communications requires more satellites in orbit, which requires more launches and more spacecraft components. The defense and national security segment (HASTE hypersonic testing) is similarly immune to AI substitution. The only reason this isn't a 9 is that AI-optimized manufacturing could eventually benefit competitors equally [1]. AI Opportunity (0/1): Rocket Lab does not generate meaningful AI-related revenue directly — it is a beneficiary of AI-driven demand for space infrastructure rather than an AI product or service provider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Lab Q1 2026 Earnings Release — GlobeNewswire,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Quartr Insights — Peter Beck: The Innovator at Rocket Lab</w:t>
      </w:r>
    </w:p>
    <w:p>
      <w:pPr>
        <w:spacing w:before="20" w:after="20"/>
        <w:ind w:left="170"/>
      </w:pPr>
      <w:r>
        <w:rPr>
          <w:rFonts w:ascii="Calibri" w:hAnsi="Calibri"/>
          <w:b/>
          <w:color w:val="4A6B25"/>
          <w:sz w:val="15"/>
        </w:rPr>
        <w:t xml:space="preserve">3. </w:t>
      </w:r>
      <w:r>
        <w:rPr>
          <w:rFonts w:ascii="Calibri" w:hAnsi="Calibri"/>
          <w:b w:val="0"/>
          <w:color w:val="3A4A28"/>
          <w:sz w:val="17"/>
        </w:rPr>
        <w:t>BusinessDesk — Peter Beck: If You're Afraid to Fail You'll Never Innovate</w:t>
      </w:r>
    </w:p>
    <w:p>
      <w:pPr>
        <w:spacing w:before="20" w:after="20"/>
        <w:ind w:left="170"/>
      </w:pPr>
      <w:r>
        <w:rPr>
          <w:rFonts w:ascii="Calibri" w:hAnsi="Calibri"/>
          <w:b/>
          <w:color w:val="4A6B25"/>
          <w:sz w:val="15"/>
        </w:rPr>
        <w:t xml:space="preserve">4. </w:t>
      </w:r>
      <w:r>
        <w:rPr>
          <w:rFonts w:ascii="Calibri" w:hAnsi="Calibri"/>
          <w:b w:val="0"/>
          <w:color w:val="3A4A28"/>
          <w:sz w:val="17"/>
        </w:rPr>
        <w:t>Rocket Lab ESG Impact Report — BusinessWire, August 2022</w:t>
      </w:r>
    </w:p>
    <w:p>
      <w:pPr>
        <w:spacing w:before="20" w:after="20"/>
        <w:ind w:left="170"/>
      </w:pPr>
      <w:r>
        <w:rPr>
          <w:rFonts w:ascii="Calibri" w:hAnsi="Calibri"/>
          <w:b/>
          <w:color w:val="4A6B25"/>
          <w:sz w:val="15"/>
        </w:rPr>
        <w:t xml:space="preserve">5. </w:t>
      </w:r>
      <w:r>
        <w:rPr>
          <w:rFonts w:ascii="Calibri" w:hAnsi="Calibri"/>
          <w:b w:val="0"/>
          <w:color w:val="3A4A28"/>
          <w:sz w:val="17"/>
        </w:rPr>
        <w:t>CNBC — Rocket Lab Q1 2026 Earnings Report, May 8,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RKLB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