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RKT</w:t>
      </w:r>
      <w:r>
        <w:rPr>
          <w:rFonts w:ascii="Calibri" w:hAnsi="Calibri"/>
          <w:b/>
          <w:color w:val="1A2010"/>
          <w:sz w:val="40"/>
        </w:rPr>
        <w:t xml:space="preserve">  Rocket Companies, Inc.</w:t>
      </w:r>
    </w:p>
    <w:p>
      <w:pPr>
        <w:spacing w:after="120"/>
      </w:pPr>
      <w:r>
        <w:rPr>
          <w:rFonts w:ascii="Calibri" w:hAnsi="Calibri"/>
          <w:b/>
          <w:color w:val="6E8450"/>
          <w:sz w:val="18"/>
        </w:rPr>
        <w:t>GROWTH SLEEVE · 2026-03-23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Mortgage Finance · NYSE · United States</w:t>
      </w:r>
    </w:p>
    <w:p>
      <w:pPr>
        <w:spacing w:after="80"/>
      </w:pPr>
      <w:r>
        <w:rPr>
          <w:rFonts w:ascii="Calibri" w:hAnsi="Calibri"/>
          <w:b w:val="0"/>
          <w:color w:val="3A4A28"/>
          <w:sz w:val="20"/>
        </w:rPr>
        <w:t>Rocket Companies is America's largest mortgage lender, operating Rocket Mortgage, Redfin real estate platform, and recently acquired Mr. Cooper for the largest independent mortgage company deal in history. The company generated $7.1B in 2025 revenue with $130.4B in closed loan origination volume.</w:t>
      </w:r>
    </w:p>
    <w:p>
      <w:r>
        <w:rPr>
          <w:rFonts w:ascii="Calibri" w:hAnsi="Calibri"/>
          <w:b/>
          <w:color w:val="6E8450"/>
          <w:sz w:val="18"/>
        </w:rPr>
        <w:t>23,500 Employees · https://www.rocketcompanies.com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Rocket transformed mortgage origination from a paper-based process to a fully digital experience and completed the Mr. Cooper acquisition (largest independent mortgage deal in history) plus the Redfin integration, creating a vertically integrated home-buying platform [1]. AI Deployment (1/2): Rocket deploys AI across underwriting automation, customer matching, and marketing optimization, achieving a 97% net client retention rate, though specific AI revenue quantification is not disclosed [1]. Market Share (1/2): Rocket is the #1 U.S. mortgage lender by volume with $130.4B in originations, but the mortgage market is highly fragmented and competitive. Pipeline (1/2): Q1 2026 guidance of $2.7B at midpoint (15.9% above consensus) and Compass strategic alliance suggest continued momentum [1]. R&amp;D Intensity (1/1): Heavy technology investment to maintain the digital-first mortgage platform and integrate Redfin/Mr. Cooper tech stacks.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Rocket's mission of simplifying the home-buying process through technology is clear and connects to making homeownership more accessible [1]. Dan Gilbert's founding vision of removing friction from a complex life decision resonates beyond generic fintech messaging. Community Impact (1/2): Rocket employs 23,500 people and Gilbert's significant investment in Detroit revitalization through Bedrock demonstrates genuine community commitment. Employee Retention (1/2): The company's culture has historically been rated well, and the appointment of CFO Brian Brown as President signals internal development. Insider Buying (1/2): Dan Gilbert maintains substantial ownership and has invested personally in the broader Detroit ecosystem aligned with Rocket's mission.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Rocket delivered strong top-line growth with Q4 revenue of $2.69B (+127% YoY) and full-year adjusted revenue of $6.9B, but GAAP profitability remains elusive with -0.96% profit margin [1][3]. D/E of 147.7% reflects the mortgage banking model with $33.8B in warehouse debt. ROE is slightly negative at -1.5%. Forward P/E of 11.9x is reasonable assuming profitability normalizes. The company generated $132B in rate locks and $130.4B in origination volume, with Q1 2026 guidance well above expectations [1]. Liquidity floor cleared: 29.7M avg volume x $13.65 = $405M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Rocket under Dan Gilbert demonstrates mixed infinite game qualities — the patient investment in digital mortgage infrastructure over 20+ years and Detroit community commitment show long-term thinking, while the aggressive M&amp;A pace (Redfin, Mr. Cooper) and cyclical mortgage dependence suggest a company focused on scale advantages rather than a transcendent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Rocket's purpose of simplifying homeownership through technology is genuine but functional — it describes what the company does rather than a vision of a future state that doesn't yet exist [1]. The home-buying platform integration creates value but isn't a transformative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Rocket has historically maintained a strong internal culture focused on speed and customer obsession [1]. Promoting CFO Brian Brown to President shows internal development. However, integrating 23,500+ employees across Rocket, Redfin, and Mr. Cooper creates significant cultural assimilation challenges.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Rocket's three-year Compass strategic alliance demonstrates willingness to collaborate with potential rivals to expand the market rather than compete destructively [1]. This partnership approach suggests an infinite competitive mindset focused on growing the overall opportunity.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a mortgage lender to a vertically integrated home-buying platform (origination + real estate + servicing) represents significant strategic evolution [1]. The Mr. Cooper and Redfin integrations create capabilities that pure mortgage lenders cannot match.</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Executing the largest independent mortgage company deal (Mr. Cooper) during a challenging rate environment demonstrates willingness to invest counter-cyclically [1]. Dan Gilbert's $5.6B+ investment in Detroit redevelopment shows courage beyond quarterly earnings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Rocket is the largest U.S. mortgage lender at 11.9x forward earnings with Q1 2026 guidance 15.9% above consensus, a vertically integrated platform (Rocket Mortgage + Redfin + Mr. Cooper), and 97% net client retention [1]. The $130.4B origination volume and Compass strategic alliance create scale advantages that should compound as housing affordability improves with rates easing. Dan Gilbert's vision of a seamless home-buying experience is coming together through M&amp;A integration.</w:t>
      </w:r>
    </w:p>
    <w:p>
      <w:pPr>
        <w:spacing w:after="120"/>
      </w:pPr>
      <w:r>
        <w:rPr>
          <w:rFonts w:ascii="Calibri" w:hAnsi="Calibri"/>
          <w:b w:val="0"/>
          <w:color w:val="3A4A28"/>
          <w:sz w:val="20"/>
        </w:rPr>
        <w:t>The bear case centers on the cyclical nature of mortgage lending — Rocket's revenue is highly sensitive to interest rate movements, and the company trades at 8x P/S versus 1.9x for mortgage peers, implying execution risk is priced in [1]. GAAP profitability remains negative despite $7.1B revenue, and integrating three major acquisitions simultaneously (Redfin, Mr. Cooper, Compass partnership) creates operational complexity. D/E of 148% reflects $33.8B in warehouse debt. The stock is 44% below its $24.36 52-week high. Rising fintech competition and potential AI-driven underwriting commoditization could erode Rocket's digital-first advantage over time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guidance of ~$2.7B (15.9% above consensus) signals strong origination momentum continuing [1]</w:t>
      </w:r>
    </w:p>
    <w:p>
      <w:pPr>
        <w:spacing w:before="40" w:after="40"/>
        <w:ind w:left="283"/>
      </w:pPr>
      <w:r>
        <w:rPr>
          <w:rFonts w:ascii="Calibri" w:hAnsi="Calibri"/>
          <w:b/>
          <w:color w:val="4A6B25"/>
          <w:sz w:val="20"/>
        </w:rPr>
        <w:t xml:space="preserve">2. </w:t>
      </w:r>
      <w:r>
        <w:rPr>
          <w:rFonts w:ascii="Calibri" w:hAnsi="Calibri"/>
          <w:b w:val="0"/>
          <w:color w:val="3A4A28"/>
          <w:sz w:val="20"/>
        </w:rPr>
        <w:t>Mr. Cooper integration creating servicing scale with $130.4B closed origination volume feeding the retention flywheel [1]</w:t>
      </w:r>
    </w:p>
    <w:p>
      <w:pPr>
        <w:spacing w:before="40" w:after="40"/>
        <w:ind w:left="283"/>
      </w:pPr>
      <w:r>
        <w:rPr>
          <w:rFonts w:ascii="Calibri" w:hAnsi="Calibri"/>
          <w:b/>
          <w:color w:val="4A6B25"/>
          <w:sz w:val="20"/>
        </w:rPr>
        <w:t xml:space="preserve">3. </w:t>
      </w:r>
      <w:r>
        <w:rPr>
          <w:rFonts w:ascii="Calibri" w:hAnsi="Calibri"/>
          <w:b w:val="0"/>
          <w:color w:val="3A4A28"/>
          <w:sz w:val="20"/>
        </w:rPr>
        <w:t>Interest rate easing could drive a refinancing wave that disproportionately benefits the #1 digital mortgage lender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8x P/S valuation versus 1.9x peer average creates significant downside risk if growth premium compresses [1]</w:t>
      </w:r>
    </w:p>
    <w:p>
      <w:pPr>
        <w:spacing w:before="40" w:after="40"/>
        <w:ind w:left="283"/>
      </w:pPr>
      <w:r>
        <w:rPr>
          <w:rFonts w:ascii="Calibri" w:hAnsi="Calibri"/>
          <w:b/>
          <w:color w:val="4A6B25"/>
          <w:sz w:val="20"/>
        </w:rPr>
        <w:t xml:space="preserve">2. </w:t>
      </w:r>
      <w:r>
        <w:rPr>
          <w:rFonts w:ascii="Calibri" w:hAnsi="Calibri"/>
          <w:b w:val="0"/>
          <w:color w:val="3A4A28"/>
          <w:sz w:val="20"/>
        </w:rPr>
        <w:t>Simultaneous integration of Redfin, Mr. Cooper, and Compass partnership creates operational and cultural execution risk [1]</w:t>
      </w:r>
    </w:p>
    <w:p>
      <w:pPr>
        <w:spacing w:before="40" w:after="40"/>
        <w:ind w:left="283"/>
      </w:pPr>
      <w:r>
        <w:rPr>
          <w:rFonts w:ascii="Calibri" w:hAnsi="Calibri"/>
          <w:b/>
          <w:color w:val="4A6B25"/>
          <w:sz w:val="20"/>
        </w:rPr>
        <w:t xml:space="preserve">3. </w:t>
      </w:r>
      <w:r>
        <w:rPr>
          <w:rFonts w:ascii="Calibri" w:hAnsi="Calibri"/>
          <w:b w:val="0"/>
          <w:color w:val="3A4A28"/>
          <w:sz w:val="20"/>
        </w:rPr>
        <w:t>Interest rate volatility directly impacts mortgage origination demand; rate increases could reverse recent volume gains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Mortgage lending faces moderate AI disruption risk — AI-powered underwriting and loan origination tools could commoditize the digital mortgage process that is Rocket's core competitive advantage [1]. However, regulatory requirements, licensing, and the complexity of real estate transactions provide meaningful defensive moats. Fintech competitors with AI-native platforms are emerging. AI Opportunity (0/1): While Rocket uses AI internally for underwriting automation and customer retention (97% rate), the company does not generate direct AI product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Rocket Companies Q4 and Full Year 2025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RKT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