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RLX</w:t>
      </w:r>
      <w:r>
        <w:rPr>
          <w:rFonts w:ascii="Calibri" w:hAnsi="Calibri"/>
          <w:b/>
          <w:color w:val="1A2010"/>
          <w:sz w:val="40"/>
        </w:rPr>
        <w:t xml:space="preserve">  RLX Technology Inc.</w:t>
      </w:r>
    </w:p>
    <w:p>
      <w:pPr>
        <w:spacing w:after="120"/>
      </w:pPr>
      <w:r>
        <w:rPr>
          <w:rFonts w:ascii="Calibri" w:hAnsi="Calibri"/>
          <w:b/>
          <w:color w:val="6E8450"/>
          <w:sz w:val="18"/>
        </w:rPr>
        <w:t>GROWTH SLEEVE · 2026-04-14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Tobacco · NYSE · China</w:t>
      </w:r>
    </w:p>
    <w:p>
      <w:pPr>
        <w:spacing w:after="80"/>
      </w:pPr>
      <w:r>
        <w:rPr>
          <w:rFonts w:ascii="Calibri" w:hAnsi="Calibri"/>
          <w:b w:val="0"/>
          <w:color w:val="3A4A28"/>
          <w:sz w:val="20"/>
        </w:rPr>
        <w:t>RLX Technology is a Chinese e-vapor (e-cigarette) company that develops, manufactures and distributes closed-system vaping devices and pods under the RELX brand. The company operates an offline 'Branded store plus' retail model in China and is aggressively expanding international revenue, which now represents 70-80% of sales.</w:t>
      </w:r>
    </w:p>
    <w:p>
      <w:r>
        <w:rPr>
          <w:rFonts w:ascii="Calibri" w:hAnsi="Calibri"/>
          <w:b/>
          <w:color w:val="6E8450"/>
          <w:sz w:val="18"/>
        </w:rPr>
        <w:t>1,900 Employees · https://www.relxtech.com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RLX executed a meaningful pivot after the 2022 Chinese e-cigarette regulatory crackdown by shifting toward international markets; Q3 2025 net revenue rose 49% YoY to RMB 1,129M with overseas now ~70-80% of revenue [1]. Q4 2025 revenue of $159.07M beat estimates by $18.57M on international expansion and a new Asia-Pacific franchise retail model [1]. AI Deployment (0/2): No evidence of AI-powered products shipping or quantified AI-driven cost savings in disclosures [2]. Market Share (2/2): RLX is the leading branded e-vapor player in China and expanding into new geographies with a franchise retail model [1]. Pipeline (1/2): Management guided that 2026 volume and revenue growth will align and that RLX will grow 'significantly faster than industry average' vs. a double-digit industry backdrop, but specific next-gen product SKUs and dates were not disclosed [1]. R&amp;D Intensity (0/1): No evidence that R&amp;D spend is top-quartile for the tobacco/e-vapor sector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RLX articulates a mission around 'providing reliable e-vapor products to adult smokers worldwide,' but it reads as boilerplate category marketing rather than a distinctive purpose; observers note the mission could be 'refined to better reflect the evolving global emphasis on ESG' [3]. Community Impact (1/2): RLX publishes annual TUV-verified ESG reports and maintains a Board-level ESG committee with supplier assessments, earning an MSCI AA rating in 2025 (up from CCC), but charitable or community programs with specific dollar amounts were not surfaced [3]. Employee Retention (0/2): No retention or tenure data surfaced in searches. Insider Buying (0/2): No evidence of meaningful net insider buying; CEO Kate Ying is a co-founder with significant equity but recent transaction data not reported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RLX has a fortress balance sheet with ~$2.2B in cash and minimal debt [1], driving very strong balance-sheet metrics (D/E near zero, positive ROE). Revenue is accelerating (Q3 2025 +49% YoY, Q4 2025 beat by $18.57M) and international revenue mix is now 70-80%, which diversifies regulatory risk [1]. Profit margins remain thin vs. the 20% target given reinvestment in international expansion, and as a Chinese ADR in a heavily regulated e-vapor category the stock carries structural valuation compression. yfinance was unavailable in this environment so specific metrics below are approximations from public disclosures and filings.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RLX is a young, founder-led company that demonstrated existential flexibility by pivoting to international markets after China's 2022 regulatory reset, but its Just Cause is shallow (nicotine as 'harm reduction' for adult smokers), its category is structurally threatened by regulation, and there is limited evidence of the multi-decade purpose consistency Sinek prizes.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RLX frames its cause as providing a 'better alternative to combustible cigarettes' for adult smokers, which is a legitimate harm-reduction thesis but remains shallow and contested [3]. Leadership references the mission in ESG reports but strategic decisions are driven more by regulation and international growth than a transformative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team average tenure of ~7.4 years and continuity of co-founder Kate Ying as CEO since 2018 suggest adequate stability, but no standout retention data or cultural empowerment evidence surfaced [2]. Chinese tech sector has faced general turnover volatility.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RLX's competitive language emphasizes 'leading' and 'gaining share' rather than learning from rivals; public communication focuses on market-share leadership vs. other Chinese e-vapor players and global tobacco/vape incumbents [1][3].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RLX executed a genuine existential pivot after China's STMA 2022 regulatory tightening collapsed its domestic business, shifting to international markets that now drive 70-80% of revenue and rebuilding around a franchise retail model [1]. This is meaningful flexibility, though driven by regulatory necessity rather than proactive cause-led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absorbed a massive domestic revenue reset and continued investing in international expansion and a $2.2B cash position rather than harvesting the remaining domestic business [1]. Some courage shown, but the bar for 'pattern of courage' over multiple cycles has not yet been met given the company's short public history (IPO 2021).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RLX is executing a compelling international growth pivot with Q3 2025 revenue up 49% YoY and Q4 2025 beating estimates by $18.57M, with overseas markets now 70-80% of revenue [1]. The balance sheet is fortress-grade with ~$2.2B in cash and minimal debt, providing significant optionality for continued international expansion, new franchise rollouts, and buybacks [1]. Management guided 2026 growth to 'significantly exceed' a double-digit industry outlook. AI resilience is high (hardware nicotine delivery cannot be AI-substituted) and the MSCI ESG rating upgrade from CCC to AA in three years signals improving governance [3].</w:t>
      </w:r>
    </w:p>
    <w:p>
      <w:pPr>
        <w:spacing w:after="120"/>
      </w:pPr>
      <w:r>
        <w:rPr>
          <w:rFonts w:ascii="Calibri" w:hAnsi="Calibri"/>
          <w:b w:val="0"/>
          <w:color w:val="3A4A28"/>
          <w:sz w:val="20"/>
        </w:rPr>
        <w:t>The bear case centers on regulation, geopolitics, and category sustainability. RLX is a Chinese ADR in an FDA-targeted category; the 2022 Chinese STMA crackdown wiped out domestic flavored e-vapor overnight and similar regulatory shocks are possible in any geography [1][3]. The Inspire Insight score of -1 and Tobacco designation reflect a structurally faith-misaligned category regardless of harm-reduction framing. Low profit margins (~14%) vs. traditional tobacco peers reflect international expansion costs and thin pricing power. Long-term, nicotine consumption is in secular decline in most developed markets, and AI-enabled behavioral health / cessation tools could further pressure demand. The small share price (~$2) and ADR structure also expose shareholders to delisting risk under U.S.-China audit disputes.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revenue continuing to accelerate beyond 70-80% mix, with the Asia-Pacific franchise retail model and European consolidation driving 2026 volume growth [1]</w:t>
      </w:r>
    </w:p>
    <w:p>
      <w:pPr>
        <w:spacing w:before="40" w:after="40"/>
        <w:ind w:left="283"/>
      </w:pPr>
      <w:r>
        <w:rPr>
          <w:rFonts w:ascii="Calibri" w:hAnsi="Calibri"/>
          <w:b/>
          <w:color w:val="4A6B25"/>
          <w:sz w:val="20"/>
        </w:rPr>
        <w:t xml:space="preserve">2. </w:t>
      </w:r>
      <w:r>
        <w:rPr>
          <w:rFonts w:ascii="Calibri" w:hAnsi="Calibri"/>
          <w:b w:val="0"/>
          <w:color w:val="3A4A28"/>
          <w:sz w:val="20"/>
        </w:rPr>
        <w:t>Potential capital return from the ~$2.2B cash balance via buybacks or an increased dividend, providing a valuation floor [1]</w:t>
      </w:r>
    </w:p>
    <w:p>
      <w:pPr>
        <w:spacing w:before="40" w:after="40"/>
        <w:ind w:left="283"/>
      </w:pPr>
      <w:r>
        <w:rPr>
          <w:rFonts w:ascii="Calibri" w:hAnsi="Calibri"/>
          <w:b/>
          <w:color w:val="4A6B25"/>
          <w:sz w:val="20"/>
        </w:rPr>
        <w:t xml:space="preserve">3. </w:t>
      </w:r>
      <w:r>
        <w:rPr>
          <w:rFonts w:ascii="Calibri" w:hAnsi="Calibri"/>
          <w:b w:val="0"/>
          <w:color w:val="3A4A28"/>
          <w:sz w:val="20"/>
        </w:rPr>
        <w:t>Further ESG rating upgrades (MSCI already at AA) opening the stock to incremental ESG-aware institutional flows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shock in any key market — the 2022 Chinese STMA crackdown is a proven template; FDA PMTA denials or EU TPD revisions could hit revenue overnight [1][3]</w:t>
      </w:r>
    </w:p>
    <w:p>
      <w:pPr>
        <w:spacing w:before="40" w:after="40"/>
        <w:ind w:left="283"/>
      </w:pPr>
      <w:r>
        <w:rPr>
          <w:rFonts w:ascii="Calibri" w:hAnsi="Calibri"/>
          <w:b/>
          <w:color w:val="4A6B25"/>
          <w:sz w:val="20"/>
        </w:rPr>
        <w:t xml:space="preserve">2. </w:t>
      </w:r>
      <w:r>
        <w:rPr>
          <w:rFonts w:ascii="Calibri" w:hAnsi="Calibri"/>
          <w:b w:val="0"/>
          <w:color w:val="3A4A28"/>
          <w:sz w:val="20"/>
        </w:rPr>
        <w:t>U.S.-China audit/delisting risk for the ADR structure, plus broad China-discount valuation compression regardless of fundamentals [2]</w:t>
      </w:r>
    </w:p>
    <w:p>
      <w:pPr>
        <w:spacing w:before="40" w:after="40"/>
        <w:ind w:left="283"/>
      </w:pPr>
      <w:r>
        <w:rPr>
          <w:rFonts w:ascii="Calibri" w:hAnsi="Calibri"/>
          <w:b/>
          <w:color w:val="4A6B25"/>
          <w:sz w:val="20"/>
        </w:rPr>
        <w:t xml:space="preserve">3. </w:t>
      </w:r>
      <w:r>
        <w:rPr>
          <w:rFonts w:ascii="Calibri" w:hAnsi="Calibri"/>
          <w:b w:val="0"/>
          <w:color w:val="3A4A28"/>
          <w:sz w:val="20"/>
        </w:rPr>
        <w:t>Secular nicotine consumption decline and potential AI-enabled cessation tools compressing long-term e-vapor demand, especially in developed markets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RLX's core business is physical e-vapor hardware and consumable pods sold through retail and franchise channels to adult nicotine consumers. AI cannot substitute for a nicotine delivery device, a regulated consumer package goods product, or an offline distribution network [1][2]. Analysts have not flagged AI as a risk factor for the e-vapor category. Core risks are regulatory (FDA, Chinese STMA) and tariff-driven, not AI-driven. AI Opportunity (0/1): RLX does not report AI-generated revenue or AI-branded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Tobacco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RLX Technology Q3 2025 and Q4 2025 earnings releases and 2026 guidance commentary, via Investing.com and MarketBeat, March 2026</w:t>
      </w:r>
    </w:p>
    <w:p>
      <w:pPr>
        <w:spacing w:before="20" w:after="20"/>
        <w:ind w:left="170"/>
      </w:pPr>
      <w:r>
        <w:rPr>
          <w:rFonts w:ascii="Calibri" w:hAnsi="Calibri"/>
          <w:b/>
          <w:color w:val="4A6B25"/>
          <w:sz w:val="15"/>
        </w:rPr>
        <w:t xml:space="preserve">2. </w:t>
      </w:r>
      <w:r>
        <w:rPr>
          <w:rFonts w:ascii="Calibri" w:hAnsi="Calibri"/>
          <w:b w:val="0"/>
          <w:color w:val="3A4A28"/>
          <w:sz w:val="17"/>
        </w:rPr>
        <w:t>RLX Technology leadership and management team data, via Simply Wall St and Craft.co,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RLX Technology ESG Report 2023 and MSCI AA ESG rating upgrade, via RLX IR, Sustainalytics, and MarketScreener, 2024-2026</w:t>
      </w:r>
    </w:p>
    <w:p>
      <w:pPr>
        <w:spacing w:before="20" w:after="20"/>
        <w:ind w:left="170"/>
      </w:pPr>
      <w:r>
        <w:rPr>
          <w:rFonts w:ascii="Calibri" w:hAnsi="Calibri"/>
          <w:b/>
          <w:color w:val="4A6B25"/>
          <w:sz w:val="15"/>
        </w:rPr>
        <w:t xml:space="preserve">4. </w:t>
      </w:r>
      <w:r>
        <w:rPr>
          <w:rFonts w:ascii="Calibri" w:hAnsi="Calibri"/>
          <w:b w:val="0"/>
          <w:color w:val="3A4A28"/>
          <w:sz w:val="17"/>
        </w:rPr>
        <w:t>Inspire Insight Impact Score data from data/inspire_insight_scores.csv</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