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RMBS</w:t>
      </w:r>
      <w:r>
        <w:rPr>
          <w:rFonts w:ascii="Calibri" w:hAnsi="Calibri"/>
          <w:b/>
          <w:color w:val="1A2010"/>
          <w:sz w:val="40"/>
        </w:rPr>
        <w:t xml:space="preserve">  Rambus, Inc.</w:t>
      </w:r>
    </w:p>
    <w:p>
      <w:pPr>
        <w:spacing w:after="120"/>
      </w:pPr>
      <w:r>
        <w:rPr>
          <w:rFonts w:ascii="Calibri" w:hAnsi="Calibri"/>
          <w:b/>
          <w:color w:val="6E8450"/>
          <w:sz w:val="18"/>
        </w:rPr>
        <w:t>GROWTH SLEEVE · 2026-04-14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Rambus designs and licenses memory interface chips and security IP that serve as critical infrastructure inside servers, AI accelerators, and PCs. Its DDR5 RCD (Registered Clock Drivers), HBM4, GDDR7, and PCIe 7 IP sit between CPUs/GPUs and memory, with the company holding mid-40% DDR5 RCD share in 2025.</w:t>
      </w:r>
    </w:p>
    <w:p>
      <w:r>
        <w:rPr>
          <w:rFonts w:ascii="Calibri" w:hAnsi="Calibri"/>
          <w:b/>
          <w:color w:val="6E8450"/>
          <w:sz w:val="18"/>
        </w:rPr>
        <w:t>720 Employees · https://www.rambus.com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Rambus successfully pivoted from a patent licensing house into a product company — product revenue grew 41% in 2025 to $348M, while royalty revenue still anchors 41% of total [1][3]. AI Deployment (2/2): Shipping AI PC memory chipsets (PMIC5200, PMIC5120) and Gen4 DDR5 RCDs that support 7,200 MT/s — specific products in market with quantified design wins [3]. Market Share Leadership (2/2): Mid-40% DDR5 RCD market share in 2025, up from low-40s in 2024 — clearly category leader [1]. Product Pipeline (1/2): HBM4, GDDR7, PCIe 7 IP design wins disclosed but timing and revenue contribution are still developing [1]. R&amp;D Intensity (1/1): Rambus operates 80% gross margins and ~35% operating margins, sustaining heavy IP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Rambus articulates its purpose as 'Making Data Faster and Safer' — a specific, thoughtful framing that maps to its actual product strategy across memory interface chips and security IP [2]. Community Impact (1/2): Sponsors the Rambus Design Summit and university semiconductor research collaborations, but no foundation or large-dollar charitable program. Employee Retention (1/2): CEO Luc Seraphin has been with Rambus 20+ years and the leadership team shows continuity [2]. Insider Buying (1/2): Mostly balanced insider activity in the last 12 months — no major net buying program but executives hold meaningful equity.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 calculation on Growth-stock weights. D/E 1.83% (well below 70%, 1.0). ROE 18.5% (above 15%, 1.0, 2x weight). Revenue growth YoY 18.1% (above 10%, 1.0). Revenue growth 5yr CAGR estimated low-double-digits (1.0, 2x weight). Forward P/E 32.2 (between target 20 and floor 60, score = (60-32.2)/(60-20) = 0.70). Profit margin 32.6% (above 20%, 1.0). Forward PEG ~2.0 estimated (between 1.0 and 3.0, score = (3-2)/(3-1) = 0.50, 2x weight). Weighted sum: 1+2+1+2+0.70+1+1.0 = 8.70 / 10 → 9. Liquidity: 2.51M × $113.16 = $284M (passes). $360M cash from operations and 45% FCF margin in 2025 provide exceptional balance sheet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Rambus has executed one of the more consistent infinite-game pivots in semiconductors — transforming from a litigation-heavy patent licensor into a respected memory infrastructure IP and chip company. Long-tenured CEO, focused mission, and disciplined capital allocation make it a high-MIXED candidate that could move toward INFINITE if it sustains the current strategy through the next semiconductor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Data Faster and Safer' is a genuine cause that has shaped a multi-decade product roadmap and survived a complete business-model pivot [2]. It hasn't yet been validated through a leadership transition, so it stops short of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Luc Seraphin's 20+ year tenure and continuity across the executive team [2] suggest a stable, trust-based culture. Lacks specific evidence of empowerment programs to score full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Management consistently acknowledges Montage Technology and Renesas in DDR5 RCD competition and frames its share gains as proof of execution rather than rival destruction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Rambus blew up its own legacy patent litigation business and rebuilt as a product-and-IP company — the canonical Sinek-style transformative pivot [3]. Today 59% of revenue is from chip products, not patents.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exited the controversial litigation-led licensing strategy and reinvested in chip product development — a multi-year capability bet that initially compressed earnings before paying off [3]. Continued investment in HBM4 and PCIe 7 IP ahead of customer demand shows additional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Rambus is a high-quality, cash-generative play on AI memory infrastructure. The company holds mid-40% market share in DDR5 RCDs [1] — a part of every modern server memory module — and is designed into the next generation of HBM4, GDDR7, and PCIe 7 platforms that will power AI accelerators in 2026 and beyond [3]. Product revenue grew 41% in 2025 to $348M, ROE is 18.5%, profit margin is 32.6%, and the company generated $360M in cash from operations with a 45% free cash flow margin [1]. With essentially no debt (D/E 1.83%) and the global memory shortage driving a multi-year DRAM upcycle, Rambus is structurally positioned to compound.</w:t>
      </w:r>
    </w:p>
    <w:p>
      <w:pPr>
        <w:spacing w:after="120"/>
      </w:pPr>
      <w:r>
        <w:rPr>
          <w:rFonts w:ascii="Calibri" w:hAnsi="Calibri"/>
          <w:b w:val="0"/>
          <w:color w:val="3A4A28"/>
          <w:sz w:val="20"/>
        </w:rPr>
        <w:t>The bear case is valuation and concentration. Forward P/E of 32 and a PEG near 2 mean much of the AI-memory narrative is in the price; any slowdown in hyperscaler capex or share loss to Renesas/Montage in the next DDR5 generation would compress the multiple meaningfully. Royalty revenue (still ~41% of total) carries patent-cliff and renegotiation risk over time, and the business depends on a small number of memory module makers as direct customers. A semiconductor cycle downturn would hit product revenue faster than royalties have historically declined.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DDR5 Gen 3 ramp through 2026 with management guiding it to become the predominant DDR5 version [1]</w:t>
      </w:r>
    </w:p>
    <w:p>
      <w:pPr>
        <w:spacing w:before="40" w:after="40"/>
        <w:ind w:left="283"/>
      </w:pPr>
      <w:r>
        <w:rPr>
          <w:rFonts w:ascii="Calibri" w:hAnsi="Calibri"/>
          <w:b/>
          <w:color w:val="4A6B25"/>
          <w:sz w:val="20"/>
        </w:rPr>
        <w:t xml:space="preserve">2. </w:t>
      </w:r>
      <w:r>
        <w:rPr>
          <w:rFonts w:ascii="Calibri" w:hAnsi="Calibri"/>
          <w:b w:val="0"/>
          <w:color w:val="3A4A28"/>
          <w:sz w:val="20"/>
        </w:rPr>
        <w:t>HBM4 design wins translating to first revenue contribution as AI accelerators ship in 2026-2027</w:t>
      </w:r>
    </w:p>
    <w:p>
      <w:pPr>
        <w:spacing w:before="40" w:after="40"/>
        <w:ind w:left="283"/>
      </w:pPr>
      <w:r>
        <w:rPr>
          <w:rFonts w:ascii="Calibri" w:hAnsi="Calibri"/>
          <w:b/>
          <w:color w:val="4A6B25"/>
          <w:sz w:val="20"/>
        </w:rPr>
        <w:t xml:space="preserve">3. </w:t>
      </w:r>
      <w:r>
        <w:rPr>
          <w:rFonts w:ascii="Calibri" w:hAnsi="Calibri"/>
          <w:b w:val="0"/>
          <w:color w:val="3A4A28"/>
          <w:sz w:val="20"/>
        </w:rPr>
        <w:t>Continued DRAM shortage driving content gains per server and pricing power for memory interface chips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32 prices in continued AI memory upcycle — any hyperscaler capex pause would compress the multiple</w:t>
      </w:r>
    </w:p>
    <w:p>
      <w:pPr>
        <w:spacing w:before="40" w:after="40"/>
        <w:ind w:left="283"/>
      </w:pPr>
      <w:r>
        <w:rPr>
          <w:rFonts w:ascii="Calibri" w:hAnsi="Calibri"/>
          <w:b/>
          <w:color w:val="4A6B25"/>
          <w:sz w:val="20"/>
        </w:rPr>
        <w:t xml:space="preserve">2. </w:t>
      </w:r>
      <w:r>
        <w:rPr>
          <w:rFonts w:ascii="Calibri" w:hAnsi="Calibri"/>
          <w:b w:val="0"/>
          <w:color w:val="3A4A28"/>
          <w:sz w:val="20"/>
        </w:rPr>
        <w:t>Competition from Renesas and Montage in DDR5 RCDs could erode the mid-40% share lead</w:t>
      </w:r>
    </w:p>
    <w:p>
      <w:pPr>
        <w:spacing w:before="40" w:after="40"/>
        <w:ind w:left="283"/>
      </w:pPr>
      <w:r>
        <w:rPr>
          <w:rFonts w:ascii="Calibri" w:hAnsi="Calibri"/>
          <w:b/>
          <w:color w:val="4A6B25"/>
          <w:sz w:val="20"/>
        </w:rPr>
        <w:t xml:space="preserve">3. </w:t>
      </w:r>
      <w:r>
        <w:rPr>
          <w:rFonts w:ascii="Calibri" w:hAnsi="Calibri"/>
          <w:b w:val="0"/>
          <w:color w:val="3A4A28"/>
          <w:sz w:val="20"/>
        </w:rPr>
        <w:t>Royalty revenue (~41% of total) faces patent expiration and renegotiation risk over the next 3-5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Rambus is AI infrastructure — its DDR5 RCDs, HBM4, GDDR7, and PCIe 7 IP sit inside the AI compute stack at hyperscalers and AI accelerator vendors [3][4]. AI cannot disrupt the company that builds the connective tissue between AI processors and the memory they depend on. The DRAM shortage of late 2025 is a tailwind — every additional AI server requires Rambus interface chips. AI Opportunity (1/1): AI revenue is meaningfully quantified — Q1 2025 product revenue surged 52% YoY to $76.3M driven specifically by DDR5 in AI/data center applications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Rambus Q4 2025 Earnings Call Transcript, February 2, 2026 (Motley Fool)</w:t>
      </w:r>
    </w:p>
    <w:p>
      <w:pPr>
        <w:spacing w:before="20" w:after="20"/>
        <w:ind w:left="170"/>
      </w:pPr>
      <w:r>
        <w:rPr>
          <w:rFonts w:ascii="Calibri" w:hAnsi="Calibri"/>
          <w:b/>
          <w:color w:val="4A6B25"/>
          <w:sz w:val="15"/>
        </w:rPr>
        <w:t xml:space="preserve">2. </w:t>
      </w:r>
      <w:r>
        <w:rPr>
          <w:rFonts w:ascii="Calibri" w:hAnsi="Calibri"/>
          <w:b w:val="0"/>
          <w:color w:val="3A4A28"/>
          <w:sz w:val="17"/>
        </w:rPr>
        <w:t>Rambus Leadership and Corporate Governance — rambus.com,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Rambus Q3 2025 Earnings Call Transcript and Q1/Q2 2025 Financial Releases — rambus.com</w:t>
      </w:r>
    </w:p>
    <w:p>
      <w:pPr>
        <w:spacing w:before="20" w:after="20"/>
        <w:ind w:left="170"/>
      </w:pPr>
      <w:r>
        <w:rPr>
          <w:rFonts w:ascii="Calibri" w:hAnsi="Calibri"/>
          <w:b/>
          <w:color w:val="4A6B25"/>
          <w:sz w:val="15"/>
        </w:rPr>
        <w:t xml:space="preserve">4. </w:t>
      </w:r>
      <w:r>
        <w:rPr>
          <w:rFonts w:ascii="Calibri" w:hAnsi="Calibri"/>
          <w:b w:val="0"/>
          <w:color w:val="3A4A28"/>
          <w:sz w:val="17"/>
        </w:rPr>
        <w:t>Chip Stock Investor — 'Buy Rambus Stock? A New AI Data Center Market Leader'; AInvest — 'Rambus Q2 2025 Outperformance'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